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EBB80ED">
      <w:pPr>
        <w:jc w:val="left"/>
        <w:rPr>
          <w:rFonts w:hint="eastAsia" w:asciiTheme="minorEastAsia" w:hAnsiTheme="minorEastAsia" w:cstheme="minorEastAsia"/>
          <w:b/>
          <w:bCs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8"/>
          <w:szCs w:val="28"/>
          <w:lang w:val="en-US" w:eastAsia="zh-CN"/>
        </w:rPr>
        <w:t>1、更正后的“7.7人员要求”</w:t>
      </w:r>
    </w:p>
    <w:p w14:paraId="30C9B0A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jc w:val="left"/>
        <w:textAlignment w:val="auto"/>
        <w:rPr>
          <w:rFonts w:hint="eastAsia" w:asciiTheme="minorEastAsia" w:hAnsiTheme="minorEastAsia" w:cstheme="minorEastAsia"/>
          <w:b w:val="0"/>
          <w:bCs w:val="0"/>
          <w:sz w:val="24"/>
          <w:szCs w:val="24"/>
          <w:highlight w:val="yellow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highlight w:val="yellow"/>
          <w:lang w:val="en-US" w:eastAsia="zh-CN"/>
        </w:rPr>
        <w:t>（1）合同签订后，中标人须按照中标项目岗位设置需求，安排专职人员全面承担药品配送、养护、调剂及调剂辅助等服务，工作地点为汉川市人民医院中标项目相关岗位。投标人须在投标文件中明确承诺人员配置数量。</w:t>
      </w:r>
    </w:p>
    <w:p w14:paraId="695A7AA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jc w:val="left"/>
        <w:textAlignment w:val="auto"/>
        <w:rPr>
          <w:rFonts w:hint="eastAsia" w:asciiTheme="minorEastAsia" w:hAnsiTheme="minorEastAsia" w:cstheme="minorEastAsia"/>
          <w:b w:val="0"/>
          <w:bCs w:val="0"/>
          <w:sz w:val="24"/>
          <w:szCs w:val="24"/>
          <w:highlight w:val="yellow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highlight w:val="yellow"/>
          <w:lang w:val="en-US" w:eastAsia="zh-CN"/>
        </w:rPr>
        <w:t>（2）人员配置要求：派驻人员应为中标人的正式员工或委托人事代理员工，并已与其签订正式劳动合同、缴纳社会保险。</w:t>
      </w:r>
    </w:p>
    <w:p w14:paraId="64ADF1D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jc w:val="left"/>
        <w:textAlignment w:val="auto"/>
        <w:rPr>
          <w:rFonts w:hint="eastAsia" w:asciiTheme="minorEastAsia" w:hAnsiTheme="minorEastAsia" w:cstheme="minorEastAsia"/>
          <w:b w:val="0"/>
          <w:bCs w:val="0"/>
          <w:sz w:val="24"/>
          <w:szCs w:val="24"/>
          <w:highlight w:val="yellow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highlight w:val="yellow"/>
          <w:lang w:val="en-US" w:eastAsia="zh-CN"/>
        </w:rPr>
        <w:t>（3）派驻人员要求：投标人应确保派驻人员能够全面、高效地完成药品配送、验收、养护、调剂及调剂辅助等服务，并严格遵守医院各项规章制度。医院有权对服务过程进行监督，对服务质量进行考核，并就服务问题向中标人提出整改要求。投标人应负责派驻人员的日常管理、工作安排、绩效考核、工资福利发放，并承担全部用工风险。</w:t>
      </w:r>
    </w:p>
    <w:p w14:paraId="519A3600">
      <w:pPr>
        <w:jc w:val="left"/>
        <w:rPr>
          <w:rFonts w:hint="eastAsia" w:asciiTheme="minorEastAsia" w:hAnsiTheme="minorEastAsia" w:cstheme="minorEastAsia"/>
          <w:b/>
          <w:bCs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8"/>
          <w:szCs w:val="28"/>
          <w:lang w:val="en-US" w:eastAsia="zh-CN"/>
        </w:rPr>
        <w:t>2、更正后的“</w:t>
      </w: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</w:rPr>
        <w:t>评审因素及评分标准</w:t>
      </w:r>
      <w:r>
        <w:rPr>
          <w:rFonts w:hint="eastAsia" w:asciiTheme="minorEastAsia" w:hAnsiTheme="minorEastAsia" w:cstheme="minorEastAsia"/>
          <w:b/>
          <w:bCs/>
          <w:sz w:val="28"/>
          <w:szCs w:val="28"/>
          <w:lang w:val="en-US" w:eastAsia="zh-CN"/>
        </w:rPr>
        <w:t>”</w:t>
      </w:r>
    </w:p>
    <w:tbl>
      <w:tblPr>
        <w:tblStyle w:val="2"/>
        <w:tblW w:w="997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7"/>
        <w:gridCol w:w="1191"/>
        <w:gridCol w:w="737"/>
        <w:gridCol w:w="7313"/>
      </w:tblGrid>
      <w:tr w14:paraId="480B58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37" w:type="dxa"/>
            <w:vAlign w:val="center"/>
          </w:tcPr>
          <w:p w14:paraId="0A445A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项目</w:t>
            </w:r>
          </w:p>
        </w:tc>
        <w:tc>
          <w:tcPr>
            <w:tcW w:w="1191" w:type="dxa"/>
            <w:vAlign w:val="center"/>
          </w:tcPr>
          <w:p w14:paraId="00D7DA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内容</w:t>
            </w:r>
          </w:p>
        </w:tc>
        <w:tc>
          <w:tcPr>
            <w:tcW w:w="737" w:type="dxa"/>
            <w:vAlign w:val="center"/>
          </w:tcPr>
          <w:p w14:paraId="1BB02C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分值</w:t>
            </w:r>
          </w:p>
        </w:tc>
        <w:tc>
          <w:tcPr>
            <w:tcW w:w="7313" w:type="dxa"/>
            <w:vAlign w:val="center"/>
          </w:tcPr>
          <w:p w14:paraId="199EFB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评审标准</w:t>
            </w:r>
          </w:p>
        </w:tc>
      </w:tr>
      <w:tr w14:paraId="2AECF2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" w:hRule="atLeast"/>
          <w:jc w:val="center"/>
        </w:trPr>
        <w:tc>
          <w:tcPr>
            <w:tcW w:w="737" w:type="dxa"/>
            <w:vMerge w:val="restart"/>
            <w:vAlign w:val="center"/>
          </w:tcPr>
          <w:p w14:paraId="6BD95E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商务评分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43分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）</w:t>
            </w:r>
          </w:p>
        </w:tc>
        <w:tc>
          <w:tcPr>
            <w:tcW w:w="1191" w:type="dxa"/>
            <w:shd w:val="clear" w:color="auto" w:fill="auto"/>
            <w:vAlign w:val="center"/>
          </w:tcPr>
          <w:p w14:paraId="54511E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类似业绩</w:t>
            </w:r>
          </w:p>
        </w:tc>
        <w:tc>
          <w:tcPr>
            <w:tcW w:w="737" w:type="dxa"/>
            <w:shd w:val="clear" w:color="auto" w:fill="auto"/>
            <w:vAlign w:val="center"/>
          </w:tcPr>
          <w:p w14:paraId="573FC5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8</w:t>
            </w:r>
          </w:p>
        </w:tc>
        <w:tc>
          <w:tcPr>
            <w:tcW w:w="7313" w:type="dxa"/>
            <w:shd w:val="clear" w:color="auto" w:fill="auto"/>
            <w:vAlign w:val="center"/>
          </w:tcPr>
          <w:p w14:paraId="66EB67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投标人提供自2023年1月1日以来（以合同签订时间为准）药品配送服务业绩，每提供一份得2分，最高得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8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分，否则不得分。</w:t>
            </w:r>
          </w:p>
          <w:p w14:paraId="54094D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注：提供合同复印件。</w:t>
            </w:r>
          </w:p>
        </w:tc>
      </w:tr>
      <w:tr w14:paraId="44DCD4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" w:hRule="atLeast"/>
          <w:jc w:val="center"/>
        </w:trPr>
        <w:tc>
          <w:tcPr>
            <w:tcW w:w="737" w:type="dxa"/>
            <w:vMerge w:val="continue"/>
            <w:vAlign w:val="center"/>
          </w:tcPr>
          <w:p w14:paraId="6C8BF4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191" w:type="dxa"/>
            <w:shd w:val="clear" w:color="auto" w:fill="auto"/>
            <w:vAlign w:val="center"/>
          </w:tcPr>
          <w:p w14:paraId="57EF2C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配送时效承诺</w:t>
            </w:r>
          </w:p>
        </w:tc>
        <w:tc>
          <w:tcPr>
            <w:tcW w:w="737" w:type="dxa"/>
            <w:shd w:val="clear" w:color="auto" w:fill="auto"/>
            <w:vAlign w:val="center"/>
          </w:tcPr>
          <w:p w14:paraId="1AD0C8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5</w:t>
            </w:r>
          </w:p>
        </w:tc>
        <w:tc>
          <w:tcPr>
            <w:tcW w:w="7313" w:type="dxa"/>
            <w:shd w:val="clear" w:color="auto" w:fill="auto"/>
            <w:vAlign w:val="center"/>
          </w:tcPr>
          <w:p w14:paraId="6C0E8F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1、承诺急救、急需药品在4小时以内完成配送、日常配送48小时内完成的，得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分。</w:t>
            </w:r>
          </w:p>
          <w:p w14:paraId="069748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2、承诺急救、急需药品在6小时以内完成配送、日常配送60小时内完成的，得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分。</w:t>
            </w:r>
          </w:p>
          <w:p w14:paraId="32CCA4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3、承诺急救、急需药品在8小时以内完成配送、日常配送72小时内完成的，得1分。</w:t>
            </w:r>
          </w:p>
          <w:p w14:paraId="063D22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（提供承诺函，格式自拟）</w:t>
            </w:r>
          </w:p>
        </w:tc>
      </w:tr>
      <w:tr w14:paraId="78D53D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  <w:jc w:val="center"/>
        </w:trPr>
        <w:tc>
          <w:tcPr>
            <w:tcW w:w="737" w:type="dxa"/>
            <w:vMerge w:val="continue"/>
            <w:vAlign w:val="center"/>
          </w:tcPr>
          <w:p w14:paraId="5D6AE9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bookmarkStart w:id="0" w:name="_GoBack" w:colFirst="1" w:colLast="3"/>
          </w:p>
        </w:tc>
        <w:tc>
          <w:tcPr>
            <w:tcW w:w="1191" w:type="dxa"/>
            <w:vAlign w:val="center"/>
          </w:tcPr>
          <w:p w14:paraId="362C25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yellow"/>
                <w:lang w:val="en-US" w:eastAsia="zh-CN"/>
              </w:rPr>
              <w:t>派驻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人员配备</w:t>
            </w:r>
          </w:p>
        </w:tc>
        <w:tc>
          <w:tcPr>
            <w:tcW w:w="737" w:type="dxa"/>
            <w:vAlign w:val="center"/>
          </w:tcPr>
          <w:p w14:paraId="7E1ADB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20</w:t>
            </w:r>
          </w:p>
        </w:tc>
        <w:tc>
          <w:tcPr>
            <w:tcW w:w="7313" w:type="dxa"/>
            <w:vAlign w:val="center"/>
          </w:tcPr>
          <w:p w14:paraId="370FB6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投标人须明确，根据项目需求及采购人工作要求，为该项目配备合适的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yellow"/>
                <w:lang w:val="en-US" w:eastAsia="zh-CN"/>
              </w:rPr>
              <w:t>派驻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工作人员，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yellow"/>
                <w:lang w:val="en-US" w:eastAsia="zh-CN"/>
              </w:rPr>
              <w:t>派驻地点为汉川市人民医院，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每配备1人得1分，20分满分。</w:t>
            </w:r>
          </w:p>
          <w:p w14:paraId="35F34B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yellow"/>
                <w:lang w:val="en-US" w:eastAsia="zh-CN"/>
              </w:rPr>
              <w:t>派驻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人员配置要求：投标人中标后，根据该项目需求，设置合适的岗位及工作人员。配备的人员为中标人的正式员工或委托人事代理员工，并与其签订正式劳动合同、缴纳社会保险。在合同执行过程中，采购人有权核实人员劳动合同、社保及执业资格证书等相关资料，如发现存在虚假承诺情形，采购人有权取消其中标资格。</w:t>
            </w:r>
          </w:p>
          <w:p w14:paraId="5EE6CE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（提供承诺函，格式自拟）</w:t>
            </w:r>
          </w:p>
        </w:tc>
      </w:tr>
      <w:bookmarkEnd w:id="0"/>
      <w:tr w14:paraId="5D534F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" w:hRule="atLeast"/>
          <w:jc w:val="center"/>
        </w:trPr>
        <w:tc>
          <w:tcPr>
            <w:tcW w:w="737" w:type="dxa"/>
            <w:vMerge w:val="continue"/>
            <w:vAlign w:val="center"/>
          </w:tcPr>
          <w:p w14:paraId="4D3579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191" w:type="dxa"/>
            <w:vAlign w:val="center"/>
          </w:tcPr>
          <w:p w14:paraId="1C4F9F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服务承诺</w:t>
            </w:r>
          </w:p>
        </w:tc>
        <w:tc>
          <w:tcPr>
            <w:tcW w:w="737" w:type="dxa"/>
            <w:vAlign w:val="center"/>
          </w:tcPr>
          <w:p w14:paraId="493F30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10</w:t>
            </w:r>
          </w:p>
        </w:tc>
        <w:tc>
          <w:tcPr>
            <w:tcW w:w="7313" w:type="dxa"/>
            <w:vAlign w:val="center"/>
          </w:tcPr>
          <w:p w14:paraId="5A3EB9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投标人在合同期内，为采购人提供药品质量保障、以及药品储存调剂设备设施维保支持服务（提供承诺函，格式自拟）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：</w:t>
            </w:r>
          </w:p>
          <w:p w14:paraId="304FF7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1、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明确为药房、药库药品提供冷库、阴凉库、常温库服务，保障其正常运行，得5分，没有得0分；</w:t>
            </w:r>
          </w:p>
          <w:p w14:paraId="0B7623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2、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明确保障药房、药库药品存储、调剂设施设备正常运行，提供维保服务，得5分，没有得0分。</w:t>
            </w:r>
          </w:p>
        </w:tc>
      </w:tr>
      <w:tr w14:paraId="5DEF72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" w:hRule="atLeast"/>
          <w:jc w:val="center"/>
        </w:trPr>
        <w:tc>
          <w:tcPr>
            <w:tcW w:w="737" w:type="dxa"/>
            <w:vMerge w:val="restart"/>
            <w:vAlign w:val="center"/>
          </w:tcPr>
          <w:p w14:paraId="186F02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技术评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分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57分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）</w:t>
            </w:r>
          </w:p>
        </w:tc>
        <w:tc>
          <w:tcPr>
            <w:tcW w:w="1191" w:type="dxa"/>
            <w:shd w:val="clear" w:color="auto" w:fill="auto"/>
            <w:vAlign w:val="center"/>
          </w:tcPr>
          <w:p w14:paraId="69EE21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质量管理</w:t>
            </w:r>
          </w:p>
        </w:tc>
        <w:tc>
          <w:tcPr>
            <w:tcW w:w="737" w:type="dxa"/>
            <w:shd w:val="clear" w:color="auto" w:fill="auto"/>
            <w:vAlign w:val="center"/>
          </w:tcPr>
          <w:p w14:paraId="171D9A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9</w:t>
            </w:r>
          </w:p>
        </w:tc>
        <w:tc>
          <w:tcPr>
            <w:tcW w:w="7313" w:type="dxa"/>
            <w:shd w:val="clear" w:color="auto" w:fill="auto"/>
            <w:vAlign w:val="center"/>
          </w:tcPr>
          <w:p w14:paraId="487FCD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一、评审内容</w:t>
            </w:r>
          </w:p>
          <w:p w14:paraId="27DDA8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根据投标人所配送产品的质量保障措施及退换货措施进行评审，方案包括但不限于：</w:t>
            </w:r>
          </w:p>
          <w:p w14:paraId="12BCFE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（1）质量保障措施方案；</w:t>
            </w:r>
          </w:p>
          <w:p w14:paraId="0F220A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（2）退换货措施方案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。</w:t>
            </w:r>
          </w:p>
          <w:p w14:paraId="46902E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二、评审标准</w:t>
            </w:r>
          </w:p>
          <w:p w14:paraId="225D1B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(1)合理性:方案必须完整，设想合于事理、恰当；</w:t>
            </w:r>
          </w:p>
          <w:p w14:paraId="1F860A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(2)科学性:方案必须切合本项目实际情况，叙述清楚、符合客观实际；</w:t>
            </w:r>
          </w:p>
          <w:p w14:paraId="4B14C5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(3)可行性:方案必须切合本项目实际情况，根据采购文件要求提出便于实施的方案。</w:t>
            </w:r>
          </w:p>
          <w:p w14:paraId="4EF51D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对上述2项评审内容进行打分，评审内容每满足一项评审标准的得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1.5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分，每项最高得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4.5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分，本评分项最高得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9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分。</w:t>
            </w:r>
          </w:p>
        </w:tc>
      </w:tr>
      <w:tr w14:paraId="01ACAD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" w:hRule="atLeast"/>
          <w:jc w:val="center"/>
        </w:trPr>
        <w:tc>
          <w:tcPr>
            <w:tcW w:w="737" w:type="dxa"/>
            <w:vMerge w:val="continue"/>
            <w:vAlign w:val="center"/>
          </w:tcPr>
          <w:p w14:paraId="1E4EF8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191" w:type="dxa"/>
            <w:shd w:val="clear" w:color="auto" w:fill="auto"/>
            <w:vAlign w:val="center"/>
          </w:tcPr>
          <w:p w14:paraId="282112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药品质量追溯服务方案</w:t>
            </w:r>
          </w:p>
        </w:tc>
        <w:tc>
          <w:tcPr>
            <w:tcW w:w="737" w:type="dxa"/>
            <w:shd w:val="clear" w:color="auto" w:fill="auto"/>
            <w:vAlign w:val="center"/>
          </w:tcPr>
          <w:p w14:paraId="4DFF5B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13.5</w:t>
            </w:r>
          </w:p>
        </w:tc>
        <w:tc>
          <w:tcPr>
            <w:tcW w:w="7313" w:type="dxa"/>
            <w:shd w:val="clear" w:color="auto" w:fill="auto"/>
            <w:vAlign w:val="center"/>
          </w:tcPr>
          <w:p w14:paraId="7E69F4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一、评审内容</w:t>
            </w:r>
          </w:p>
          <w:p w14:paraId="1C07C5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投标人需根据采购需求要求，结合医院实际情况提药品质量追溯服务方案，包括但不限于：</w:t>
            </w:r>
          </w:p>
          <w:p w14:paraId="0C5371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（1）药品追溯及医院信息化系统适配方案；</w:t>
            </w:r>
          </w:p>
          <w:p w14:paraId="2E830B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（2）自动读取记录追溯码方案；</w:t>
            </w:r>
          </w:p>
          <w:p w14:paraId="1A6B27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（3）追溯设备正常运行维保解决方案。</w:t>
            </w:r>
          </w:p>
          <w:p w14:paraId="4A538B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二、评审标准</w:t>
            </w:r>
          </w:p>
          <w:p w14:paraId="57C416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(1)合理性:方案必须完整，设想合于事理、恰当；</w:t>
            </w:r>
          </w:p>
          <w:p w14:paraId="70E407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(2)科学性:方案必须切合本项目实际情况，叙述清楚、符合客观实际；</w:t>
            </w:r>
          </w:p>
          <w:p w14:paraId="6F8D72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(3)可行性:方案必须切合本项目实际情况，根据采购文件要求提出便于实施的方案。</w:t>
            </w:r>
          </w:p>
          <w:p w14:paraId="041D93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对上述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项评审内容进行打分，评审内容每满足一项评审标准的得1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.5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分，每项最高得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4.5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分，本评分项最高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13.5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分。</w:t>
            </w:r>
          </w:p>
        </w:tc>
      </w:tr>
      <w:tr w14:paraId="49BADF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5" w:hRule="atLeast"/>
          <w:jc w:val="center"/>
        </w:trPr>
        <w:tc>
          <w:tcPr>
            <w:tcW w:w="737" w:type="dxa"/>
            <w:vMerge w:val="continue"/>
            <w:vAlign w:val="center"/>
          </w:tcPr>
          <w:p w14:paraId="0F0FFB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191" w:type="dxa"/>
            <w:vAlign w:val="center"/>
          </w:tcPr>
          <w:p w14:paraId="22FACF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应急预案</w:t>
            </w:r>
          </w:p>
        </w:tc>
        <w:tc>
          <w:tcPr>
            <w:tcW w:w="737" w:type="dxa"/>
            <w:vAlign w:val="center"/>
          </w:tcPr>
          <w:p w14:paraId="7AB3C4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9</w:t>
            </w:r>
          </w:p>
        </w:tc>
        <w:tc>
          <w:tcPr>
            <w:tcW w:w="7313" w:type="dxa"/>
            <w:vAlign w:val="center"/>
          </w:tcPr>
          <w:p w14:paraId="72D0F1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一、评审内容</w:t>
            </w:r>
          </w:p>
          <w:p w14:paraId="2A8CF2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根据投标人提供的应急预案进行评审，应急场景包含突发公共卫生事件、药品短缺、配送中断等情况，应急预案应包括但不限于：</w:t>
            </w:r>
          </w:p>
          <w:p w14:paraId="6E851E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（1）突发性事件的应急处理方案及保障措施；</w:t>
            </w:r>
          </w:p>
          <w:p w14:paraId="55EF21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（2）应急处理响应时间及人员安排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。</w:t>
            </w:r>
          </w:p>
          <w:p w14:paraId="39F944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二、评审标准</w:t>
            </w:r>
          </w:p>
          <w:p w14:paraId="4C3649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(1)合理性:方案必须完整，设想合于事理、恰当；</w:t>
            </w:r>
          </w:p>
          <w:p w14:paraId="2A3D86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(2)科学性:方案必须切合本项目实际情况，叙述清楚、符合客观实际；</w:t>
            </w:r>
          </w:p>
          <w:p w14:paraId="60957F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(3)可行性:方案必须切合本项目实际情况，根据采购文件要求提出便于实施的方案。</w:t>
            </w:r>
          </w:p>
          <w:p w14:paraId="3A2D10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对上述2项评审内容进行打分，评审内容每满足一项评审标准的得1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.5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分，每项最高得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4.5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分，本评分项最高得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9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分。</w:t>
            </w:r>
          </w:p>
        </w:tc>
      </w:tr>
      <w:tr w14:paraId="6E6393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0" w:hRule="atLeast"/>
          <w:jc w:val="center"/>
        </w:trPr>
        <w:tc>
          <w:tcPr>
            <w:tcW w:w="737" w:type="dxa"/>
            <w:vMerge w:val="continue"/>
            <w:vAlign w:val="center"/>
          </w:tcPr>
          <w:p w14:paraId="4D49AA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191" w:type="dxa"/>
            <w:vAlign w:val="center"/>
          </w:tcPr>
          <w:p w14:paraId="268963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承诺及罚则</w:t>
            </w:r>
          </w:p>
        </w:tc>
        <w:tc>
          <w:tcPr>
            <w:tcW w:w="737" w:type="dxa"/>
            <w:vAlign w:val="center"/>
          </w:tcPr>
          <w:p w14:paraId="007828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12</w:t>
            </w:r>
          </w:p>
        </w:tc>
        <w:tc>
          <w:tcPr>
            <w:tcW w:w="7313" w:type="dxa"/>
            <w:vAlign w:val="center"/>
          </w:tcPr>
          <w:p w14:paraId="0A8A06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一、评审内容</w:t>
            </w:r>
          </w:p>
          <w:p w14:paraId="2DD89D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投标人需提供的处罚措施及建议：</w:t>
            </w:r>
          </w:p>
          <w:p w14:paraId="761B24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（1）药品出现质量问题处罚措施；</w:t>
            </w:r>
          </w:p>
          <w:p w14:paraId="559DFD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（2）出现逾期配送的解决方案及处罚措施；</w:t>
            </w:r>
          </w:p>
          <w:p w14:paraId="142C97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（3）出现售后服务质量达不到要求的解决方案及处罚措施；</w:t>
            </w:r>
          </w:p>
          <w:p w14:paraId="5D6DB4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（4）配送产品品规不达标的解决方案及处罚措施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。</w:t>
            </w:r>
          </w:p>
          <w:p w14:paraId="37FCA3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二、评审标准</w:t>
            </w:r>
          </w:p>
          <w:p w14:paraId="6BA121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(1)合理性:方案必须完整，设想合于事理、恰当；</w:t>
            </w:r>
          </w:p>
          <w:p w14:paraId="7E29F1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(2)科学性:方案必须切合本项目实际情况，叙述清楚、符合客观实际；</w:t>
            </w:r>
          </w:p>
          <w:p w14:paraId="66F076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(3)可行性:方案必须切合本项目实际情况，根据采购文件要求提出便于实施的方案。</w:t>
            </w:r>
          </w:p>
          <w:p w14:paraId="61812E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对上述4项评审内容进行打分，评审内容每满足一项评审标准的得1分，每项最高得3分，本评分项最高得12分。</w:t>
            </w:r>
          </w:p>
        </w:tc>
      </w:tr>
      <w:tr w14:paraId="7DC0AB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  <w:jc w:val="center"/>
        </w:trPr>
        <w:tc>
          <w:tcPr>
            <w:tcW w:w="737" w:type="dxa"/>
            <w:vMerge w:val="continue"/>
            <w:vAlign w:val="center"/>
          </w:tcPr>
          <w:p w14:paraId="334CD0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191" w:type="dxa"/>
            <w:vAlign w:val="center"/>
          </w:tcPr>
          <w:p w14:paraId="6B8EB3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人员能力提升、技能培训方案</w:t>
            </w:r>
          </w:p>
        </w:tc>
        <w:tc>
          <w:tcPr>
            <w:tcW w:w="737" w:type="dxa"/>
            <w:vAlign w:val="center"/>
          </w:tcPr>
          <w:p w14:paraId="496EC4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13.5</w:t>
            </w:r>
          </w:p>
        </w:tc>
        <w:tc>
          <w:tcPr>
            <w:tcW w:w="7313" w:type="dxa"/>
            <w:vAlign w:val="center"/>
          </w:tcPr>
          <w:p w14:paraId="085193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一、评审内容</w:t>
            </w:r>
          </w:p>
          <w:p w14:paraId="01450A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投标人须根据人员配置，结合医院实际情况提供人员能力提升、技能培训方案，包括但不限于：</w:t>
            </w:r>
          </w:p>
          <w:p w14:paraId="361E21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（1）能力提升方案；</w:t>
            </w:r>
          </w:p>
          <w:p w14:paraId="25618E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（2）技能培训方案；</w:t>
            </w:r>
          </w:p>
          <w:p w14:paraId="4C10BD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（3）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学习拓展方案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。</w:t>
            </w:r>
          </w:p>
          <w:p w14:paraId="3F84F4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二、评审标准</w:t>
            </w:r>
          </w:p>
          <w:p w14:paraId="31E4A1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(1)合理性:方案必须完整，设想合于事理、恰当；</w:t>
            </w:r>
          </w:p>
          <w:p w14:paraId="430D8A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(2)科学性:方案必须切合本项目实际情况，叙述清楚、符合客观实际；</w:t>
            </w:r>
          </w:p>
          <w:p w14:paraId="22C9D9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(3)可行性:方案必须切合本项目实际情况，根据采购文件要求提出便于实施的方案。</w:t>
            </w:r>
          </w:p>
          <w:p w14:paraId="170DD3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对上述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项评审内容进行打分，评审内容每满足一项评审标准的得1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.5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分，每项最高得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4.5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分，本评分项最高得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13.5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分。</w:t>
            </w:r>
          </w:p>
        </w:tc>
      </w:tr>
    </w:tbl>
    <w:p w14:paraId="6155F329">
      <w:pPr>
        <w:rPr>
          <w:rFonts w:hint="eastAsia" w:asciiTheme="minorEastAsia" w:hAnsiTheme="minorEastAsia" w:cstheme="minorEastAsia"/>
          <w:sz w:val="24"/>
          <w:szCs w:val="2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9F97663"/>
    <w:rsid w:val="1C333A21"/>
    <w:rsid w:val="55815D70"/>
    <w:rsid w:val="79F97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2155</Words>
  <Characters>2228</Characters>
  <Lines>0</Lines>
  <Paragraphs>0</Paragraphs>
  <TotalTime>1</TotalTime>
  <ScaleCrop>false</ScaleCrop>
  <LinksUpToDate>false</LinksUpToDate>
  <CharactersWithSpaces>2228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2026-09-11T02:55:00Z</dcterms:created>
  <dc:creator>Shark</dc:creator>
  <cp:lastModifiedBy>czy</cp:lastModifiedBy>
  <dcterms:modified xsi:type="dcterms:W3CDTF">2026-09-11T09:45:32Z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3984EF7B7F1342338807BDD564981DCC_13</vt:lpwstr>
  </property>
  <property fmtid="{D5CDD505-2E9C-101B-9397-08002B2CF9AE}" pid="4" name="KSOTemplateDocerSaveRecord">
    <vt:lpwstr>eyJoZGlkIjoiNzc2NThkOTA5ZjkxYzE4MzA1MDlhYjA4OWU2OWE1NzkiLCJ1c2VySWQiOiI0MDk0OTg3MzMifQ==</vt:lpwstr>
  </property>
</Properties>
</file>