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1AA39">
      <w:pPr>
        <w:tabs>
          <w:tab w:val="center" w:pos="4153"/>
          <w:tab w:val="right" w:pos="8306"/>
        </w:tabs>
        <w:snapToGrid w:val="0"/>
        <w:spacing w:after="0"/>
        <w:jc w:val="center"/>
        <w:rPr>
          <w:color w:val="auto"/>
          <w:kern w:val="2"/>
          <w:sz w:val="28"/>
          <w:szCs w:val="28"/>
          <w:highlight w:val="none"/>
        </w:rPr>
      </w:pPr>
      <w:bookmarkStart w:id="0" w:name="_Toc18320"/>
      <w:bookmarkStart w:id="1" w:name="_Toc8548"/>
      <w:bookmarkStart w:id="2" w:name="_Toc16051"/>
      <w:bookmarkStart w:id="3" w:name="_Toc21605"/>
      <w:bookmarkStart w:id="4" w:name="_Toc16716"/>
      <w:bookmarkStart w:id="5" w:name="_Toc36762875"/>
      <w:r>
        <w:rPr>
          <w:rFonts w:hint="eastAsia" w:ascii="楷体_GB2312" w:hAnsi="楷体_GB2312"/>
          <w:b/>
          <w:bCs/>
          <w:color w:val="auto"/>
          <w:sz w:val="24"/>
          <w:highlight w:val="none"/>
        </w:rPr>
        <w:drawing>
          <wp:anchor distT="0" distB="0" distL="114300" distR="114300" simplePos="0" relativeHeight="251659264" behindDoc="1" locked="0" layoutInCell="1" allowOverlap="1">
            <wp:simplePos x="0" y="0"/>
            <wp:positionH relativeFrom="column">
              <wp:posOffset>3241040</wp:posOffset>
            </wp:positionH>
            <wp:positionV relativeFrom="paragraph">
              <wp:posOffset>45720</wp:posOffset>
            </wp:positionV>
            <wp:extent cx="1926590" cy="798830"/>
            <wp:effectExtent l="0" t="0" r="16510" b="1270"/>
            <wp:wrapNone/>
            <wp:docPr id="5" name="图片 5" descr="国华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国华logo3"/>
                    <pic:cNvPicPr>
                      <a:picLocks noChangeAspect="1"/>
                    </pic:cNvPicPr>
                  </pic:nvPicPr>
                  <pic:blipFill>
                    <a:blip r:embed="rId17"/>
                    <a:stretch>
                      <a:fillRect/>
                    </a:stretch>
                  </pic:blipFill>
                  <pic:spPr>
                    <a:xfrm>
                      <a:off x="0" y="0"/>
                      <a:ext cx="1926590" cy="798830"/>
                    </a:xfrm>
                    <a:prstGeom prst="rect">
                      <a:avLst/>
                    </a:prstGeom>
                  </pic:spPr>
                </pic:pic>
              </a:graphicData>
            </a:graphic>
          </wp:anchor>
        </w:drawing>
      </w:r>
    </w:p>
    <w:p w14:paraId="16DC0116">
      <w:pPr>
        <w:tabs>
          <w:tab w:val="center" w:pos="4153"/>
          <w:tab w:val="right" w:pos="8306"/>
        </w:tabs>
        <w:snapToGrid w:val="0"/>
        <w:spacing w:after="0"/>
        <w:jc w:val="center"/>
        <w:rPr>
          <w:color w:val="auto"/>
          <w:kern w:val="2"/>
          <w:sz w:val="28"/>
          <w:szCs w:val="28"/>
          <w:highlight w:val="none"/>
        </w:rPr>
      </w:pPr>
    </w:p>
    <w:p w14:paraId="11225B33">
      <w:pPr>
        <w:tabs>
          <w:tab w:val="center" w:pos="4153"/>
          <w:tab w:val="right" w:pos="8306"/>
        </w:tabs>
        <w:snapToGrid w:val="0"/>
        <w:spacing w:after="0"/>
        <w:jc w:val="center"/>
        <w:rPr>
          <w:color w:val="auto"/>
          <w:kern w:val="2"/>
          <w:sz w:val="28"/>
          <w:szCs w:val="28"/>
          <w:highlight w:val="none"/>
        </w:rPr>
      </w:pPr>
    </w:p>
    <w:p w14:paraId="6E115B76">
      <w:pPr>
        <w:spacing w:after="0"/>
        <w:jc w:val="right"/>
        <w:rPr>
          <w:rFonts w:ascii="楷体_GB2312" w:hAnsi="楷体_GB2312"/>
          <w:b/>
          <w:bCs/>
          <w:color w:val="auto"/>
          <w:sz w:val="24"/>
          <w:highlight w:val="none"/>
        </w:rPr>
      </w:pPr>
    </w:p>
    <w:p w14:paraId="2C7BFE58">
      <w:pPr>
        <w:spacing w:after="0"/>
        <w:jc w:val="right"/>
        <w:rPr>
          <w:rFonts w:ascii="楷体_GB2312" w:hAnsi="楷体_GB2312"/>
          <w:b/>
          <w:bCs/>
          <w:color w:val="auto"/>
          <w:sz w:val="24"/>
          <w:highlight w:val="none"/>
        </w:rPr>
      </w:pPr>
    </w:p>
    <w:p w14:paraId="555FF46F">
      <w:pPr>
        <w:spacing w:after="0"/>
        <w:jc w:val="right"/>
        <w:rPr>
          <w:rFonts w:ascii="楷体_GB2312" w:hAnsi="楷体_GB2312"/>
          <w:b/>
          <w:bCs/>
          <w:color w:val="auto"/>
          <w:sz w:val="24"/>
          <w:highlight w:val="none"/>
        </w:rPr>
      </w:pPr>
    </w:p>
    <w:p w14:paraId="2AEEB6F4">
      <w:pPr>
        <w:spacing w:after="0"/>
        <w:jc w:val="right"/>
        <w:rPr>
          <w:rFonts w:ascii="楷体_GB2312" w:hAnsi="楷体_GB2312"/>
          <w:b/>
          <w:bCs/>
          <w:color w:val="auto"/>
          <w:sz w:val="24"/>
          <w:highlight w:val="none"/>
        </w:rPr>
      </w:pPr>
    </w:p>
    <w:p w14:paraId="0B5534BB">
      <w:pPr>
        <w:spacing w:after="0"/>
        <w:jc w:val="center"/>
        <w:outlineLvl w:val="9"/>
        <w:rPr>
          <w:rFonts w:hint="eastAsia" w:ascii="宋体" w:hAnsi="Courier New"/>
          <w:color w:val="auto"/>
          <w:sz w:val="84"/>
          <w:szCs w:val="84"/>
          <w:highlight w:val="none"/>
        </w:rPr>
      </w:pPr>
      <w:bookmarkStart w:id="6" w:name="_Toc141260226"/>
      <w:bookmarkStart w:id="7" w:name="_Toc114151471"/>
    </w:p>
    <w:p w14:paraId="0AE7C766">
      <w:pPr>
        <w:spacing w:after="0"/>
        <w:jc w:val="center"/>
        <w:outlineLvl w:val="0"/>
        <w:rPr>
          <w:rFonts w:ascii="宋体" w:hAnsi="宋体" w:cs="宋体"/>
          <w:b/>
          <w:color w:val="auto"/>
          <w:sz w:val="72"/>
          <w:szCs w:val="72"/>
          <w:highlight w:val="none"/>
        </w:rPr>
      </w:pPr>
      <w:r>
        <w:rPr>
          <w:rFonts w:hint="eastAsia" w:ascii="宋体" w:hAnsi="Courier New"/>
          <w:color w:val="auto"/>
          <w:sz w:val="84"/>
          <w:szCs w:val="84"/>
          <w:highlight w:val="none"/>
        </w:rPr>
        <w:t>竞争性磋商采购文件</w:t>
      </w:r>
      <w:bookmarkEnd w:id="6"/>
      <w:bookmarkEnd w:id="7"/>
    </w:p>
    <w:p w14:paraId="78D93EB0">
      <w:pPr>
        <w:tabs>
          <w:tab w:val="center" w:pos="4153"/>
          <w:tab w:val="right" w:pos="8306"/>
        </w:tabs>
        <w:snapToGrid w:val="0"/>
        <w:spacing w:after="0"/>
        <w:jc w:val="center"/>
        <w:rPr>
          <w:i/>
          <w:color w:val="auto"/>
          <w:kern w:val="2"/>
          <w:sz w:val="32"/>
          <w:szCs w:val="32"/>
          <w:highlight w:val="none"/>
        </w:rPr>
      </w:pPr>
    </w:p>
    <w:p w14:paraId="4146CD57">
      <w:pPr>
        <w:tabs>
          <w:tab w:val="left" w:pos="2127"/>
          <w:tab w:val="left" w:pos="2552"/>
          <w:tab w:val="left" w:pos="3969"/>
        </w:tabs>
        <w:snapToGrid w:val="0"/>
        <w:ind w:firstLine="1558" w:firstLineChars="485"/>
        <w:rPr>
          <w:rFonts w:ascii="宋体" w:hAnsi="宋体" w:cs="宋体"/>
          <w:b/>
          <w:i/>
          <w:color w:val="auto"/>
          <w:sz w:val="32"/>
          <w:szCs w:val="32"/>
          <w:highlight w:val="none"/>
        </w:rPr>
      </w:pPr>
    </w:p>
    <w:p w14:paraId="798AC923">
      <w:pPr>
        <w:keepNext w:val="0"/>
        <w:keepLines w:val="0"/>
        <w:pageBreakBefore w:val="0"/>
        <w:widowControl/>
        <w:tabs>
          <w:tab w:val="left" w:pos="2127"/>
          <w:tab w:val="left" w:pos="2552"/>
          <w:tab w:val="left" w:pos="3969"/>
        </w:tabs>
        <w:kinsoku/>
        <w:wordWrap/>
        <w:overflowPunct/>
        <w:topLinePunct w:val="0"/>
        <w:autoSpaceDE/>
        <w:autoSpaceDN/>
        <w:bidi w:val="0"/>
        <w:adjustRightInd/>
        <w:snapToGrid w:val="0"/>
        <w:spacing w:after="0" w:line="360" w:lineRule="auto"/>
        <w:ind w:firstLine="964" w:firstLineChars="300"/>
        <w:textAlignment w:val="auto"/>
        <w:rPr>
          <w:rFonts w:hint="eastAsia" w:ascii="宋体" w:hAnsi="宋体" w:cs="宋体"/>
          <w:b/>
          <w:color w:val="auto"/>
          <w:sz w:val="32"/>
          <w:szCs w:val="32"/>
          <w:highlight w:val="none"/>
        </w:rPr>
      </w:pPr>
    </w:p>
    <w:p w14:paraId="54404F8E">
      <w:pPr>
        <w:keepNext w:val="0"/>
        <w:keepLines w:val="0"/>
        <w:pageBreakBefore w:val="0"/>
        <w:widowControl/>
        <w:tabs>
          <w:tab w:val="left" w:pos="2127"/>
          <w:tab w:val="left" w:pos="2552"/>
          <w:tab w:val="left" w:pos="3969"/>
        </w:tabs>
        <w:kinsoku/>
        <w:wordWrap/>
        <w:overflowPunct/>
        <w:topLinePunct w:val="0"/>
        <w:autoSpaceDE/>
        <w:autoSpaceDN/>
        <w:bidi w:val="0"/>
        <w:adjustRightInd/>
        <w:snapToGrid w:val="0"/>
        <w:spacing w:after="0" w:line="360" w:lineRule="auto"/>
        <w:ind w:firstLine="964" w:firstLineChars="300"/>
        <w:textAlignment w:val="auto"/>
        <w:rPr>
          <w:rFonts w:ascii="宋体" w:hAnsi="宋体" w:cs="宋体"/>
          <w:b/>
          <w:color w:val="auto"/>
          <w:sz w:val="32"/>
          <w:szCs w:val="32"/>
          <w:highlight w:val="none"/>
        </w:rPr>
      </w:pPr>
      <w:r>
        <w:rPr>
          <w:rFonts w:hint="eastAsia" w:ascii="宋体" w:hAnsi="宋体" w:cs="宋体"/>
          <w:b/>
          <w:color w:val="auto"/>
          <w:sz w:val="32"/>
          <w:szCs w:val="32"/>
          <w:highlight w:val="none"/>
        </w:rPr>
        <w:t>项目编号：ZB0105-202510-ZCFW1643</w:t>
      </w:r>
    </w:p>
    <w:p w14:paraId="4238E955">
      <w:pPr>
        <w:keepNext w:val="0"/>
        <w:keepLines w:val="0"/>
        <w:pageBreakBefore w:val="0"/>
        <w:widowControl/>
        <w:tabs>
          <w:tab w:val="left" w:pos="2127"/>
          <w:tab w:val="left" w:pos="2552"/>
          <w:tab w:val="left" w:pos="3969"/>
        </w:tabs>
        <w:kinsoku/>
        <w:wordWrap/>
        <w:overflowPunct/>
        <w:topLinePunct w:val="0"/>
        <w:autoSpaceDE/>
        <w:autoSpaceDN/>
        <w:bidi w:val="0"/>
        <w:adjustRightInd/>
        <w:snapToGrid w:val="0"/>
        <w:spacing w:after="0" w:line="360" w:lineRule="auto"/>
        <w:ind w:left="2563" w:leftChars="435" w:hanging="1606" w:hangingChars="500"/>
        <w:textAlignment w:val="auto"/>
        <w:rPr>
          <w:rFonts w:ascii="宋体" w:hAnsi="宋体" w:cs="宋体"/>
          <w:b/>
          <w:color w:val="auto"/>
          <w:sz w:val="32"/>
          <w:szCs w:val="32"/>
          <w:highlight w:val="none"/>
        </w:rPr>
      </w:pPr>
      <w:r>
        <w:rPr>
          <w:rFonts w:hint="eastAsia" w:ascii="宋体" w:hAnsi="宋体" w:cs="宋体"/>
          <w:b/>
          <w:color w:val="auto"/>
          <w:sz w:val="32"/>
          <w:szCs w:val="32"/>
          <w:highlight w:val="none"/>
        </w:rPr>
        <w:t>项目名称：劳务派遣服务采购</w:t>
      </w:r>
      <w:r>
        <w:rPr>
          <w:rFonts w:hint="eastAsia" w:ascii="宋体" w:hAnsi="宋体" w:cs="宋体"/>
          <w:b/>
          <w:color w:val="auto"/>
          <w:sz w:val="32"/>
          <w:szCs w:val="32"/>
          <w:highlight w:val="none"/>
          <w:lang w:val="en-US" w:eastAsia="zh-CN"/>
        </w:rPr>
        <w:t>项目</w:t>
      </w:r>
    </w:p>
    <w:p w14:paraId="1C5C2731">
      <w:pPr>
        <w:keepNext w:val="0"/>
        <w:keepLines w:val="0"/>
        <w:pageBreakBefore w:val="0"/>
        <w:widowControl/>
        <w:tabs>
          <w:tab w:val="left" w:pos="2127"/>
          <w:tab w:val="left" w:pos="2552"/>
          <w:tab w:val="left" w:pos="3969"/>
        </w:tabs>
        <w:kinsoku/>
        <w:wordWrap/>
        <w:overflowPunct/>
        <w:topLinePunct w:val="0"/>
        <w:autoSpaceDE/>
        <w:autoSpaceDN/>
        <w:bidi w:val="0"/>
        <w:adjustRightInd/>
        <w:snapToGrid w:val="0"/>
        <w:spacing w:after="0" w:line="360" w:lineRule="auto"/>
        <w:ind w:firstLine="964" w:firstLineChars="300"/>
        <w:textAlignment w:val="auto"/>
        <w:rPr>
          <w:rFonts w:ascii="宋体" w:hAnsi="宋体" w:cs="宋体"/>
          <w:b/>
          <w:color w:val="auto"/>
          <w:sz w:val="32"/>
          <w:szCs w:val="32"/>
          <w:highlight w:val="none"/>
        </w:rPr>
      </w:pPr>
      <w:r>
        <w:rPr>
          <w:rFonts w:hint="eastAsia" w:ascii="宋体" w:hAnsi="宋体" w:cs="宋体"/>
          <w:b/>
          <w:color w:val="auto"/>
          <w:sz w:val="32"/>
          <w:szCs w:val="32"/>
          <w:highlight w:val="none"/>
        </w:rPr>
        <w:t>采购内容：劳务派遣服务</w:t>
      </w:r>
    </w:p>
    <w:p w14:paraId="165836F4">
      <w:pPr>
        <w:keepNext w:val="0"/>
        <w:keepLines w:val="0"/>
        <w:pageBreakBefore w:val="0"/>
        <w:widowControl/>
        <w:tabs>
          <w:tab w:val="left" w:pos="2127"/>
          <w:tab w:val="left" w:pos="2552"/>
          <w:tab w:val="left" w:pos="3969"/>
        </w:tabs>
        <w:kinsoku/>
        <w:wordWrap/>
        <w:overflowPunct/>
        <w:topLinePunct w:val="0"/>
        <w:autoSpaceDE/>
        <w:autoSpaceDN/>
        <w:bidi w:val="0"/>
        <w:adjustRightInd/>
        <w:snapToGrid w:val="0"/>
        <w:spacing w:after="0" w:line="360" w:lineRule="auto"/>
        <w:ind w:firstLine="964" w:firstLineChars="300"/>
        <w:textAlignment w:val="auto"/>
        <w:rPr>
          <w:rFonts w:ascii="宋体" w:hAnsi="宋体" w:cs="宋体"/>
          <w:bCs/>
          <w:color w:val="auto"/>
          <w:sz w:val="30"/>
          <w:szCs w:val="30"/>
          <w:highlight w:val="none"/>
        </w:rPr>
      </w:pPr>
      <w:r>
        <w:rPr>
          <w:rFonts w:hint="eastAsia" w:ascii="宋体" w:hAnsi="宋体" w:cs="宋体"/>
          <w:b/>
          <w:color w:val="auto"/>
          <w:sz w:val="32"/>
          <w:szCs w:val="32"/>
          <w:highlight w:val="none"/>
        </w:rPr>
        <w:t>采 购 人</w:t>
      </w:r>
      <w:r>
        <w:rPr>
          <w:rFonts w:hint="eastAsia" w:ascii="宋体" w:hAnsi="宋体" w:cs="宋体"/>
          <w:b/>
          <w:color w:val="auto"/>
          <w:sz w:val="32"/>
          <w:szCs w:val="32"/>
          <w:highlight w:val="none"/>
          <w:lang w:val="zh-CN"/>
        </w:rPr>
        <w:t>：武汉市东湖生态旅游风景区自然资源局</w:t>
      </w:r>
    </w:p>
    <w:p w14:paraId="5140F24D">
      <w:pPr>
        <w:snapToGrid w:val="0"/>
        <w:spacing w:after="0"/>
        <w:ind w:firstLine="300" w:firstLineChars="100"/>
        <w:jc w:val="center"/>
        <w:rPr>
          <w:rFonts w:ascii="宋体" w:hAnsi="宋体" w:cs="宋体"/>
          <w:bCs/>
          <w:color w:val="auto"/>
          <w:sz w:val="30"/>
          <w:szCs w:val="30"/>
          <w:highlight w:val="none"/>
        </w:rPr>
      </w:pPr>
    </w:p>
    <w:p w14:paraId="439C4EA3">
      <w:pPr>
        <w:snapToGrid w:val="0"/>
        <w:spacing w:after="0"/>
        <w:ind w:firstLine="300" w:firstLineChars="100"/>
        <w:jc w:val="center"/>
        <w:rPr>
          <w:rFonts w:ascii="宋体" w:hAnsi="宋体" w:cs="宋体"/>
          <w:bCs/>
          <w:color w:val="auto"/>
          <w:sz w:val="30"/>
          <w:szCs w:val="30"/>
          <w:highlight w:val="none"/>
        </w:rPr>
      </w:pPr>
    </w:p>
    <w:p w14:paraId="55D76C23">
      <w:pPr>
        <w:keepNext w:val="0"/>
        <w:keepLines w:val="0"/>
        <w:pageBreakBefore w:val="0"/>
        <w:widowControl/>
        <w:kinsoku/>
        <w:wordWrap/>
        <w:overflowPunct/>
        <w:topLinePunct w:val="0"/>
        <w:autoSpaceDE/>
        <w:autoSpaceDN/>
        <w:bidi w:val="0"/>
        <w:adjustRightInd/>
        <w:snapToGrid w:val="0"/>
        <w:spacing w:after="0" w:line="360" w:lineRule="auto"/>
        <w:ind w:firstLine="301" w:firstLineChars="100"/>
        <w:jc w:val="center"/>
        <w:textAlignment w:val="auto"/>
        <w:rPr>
          <w:rFonts w:hint="default" w:ascii="宋体" w:hAnsi="宋体" w:eastAsia="宋体" w:cs="宋体"/>
          <w:bCs/>
          <w:color w:val="auto"/>
          <w:sz w:val="30"/>
          <w:szCs w:val="30"/>
          <w:highlight w:val="none"/>
          <w:lang w:val="en-US" w:eastAsia="zh-CN"/>
        </w:rPr>
      </w:pPr>
      <w:bookmarkStart w:id="8" w:name="_Toc24877"/>
      <w:bookmarkStart w:id="9" w:name="_Toc10172"/>
      <w:r>
        <w:rPr>
          <w:rFonts w:hint="eastAsia" w:ascii="宋体" w:hAnsi="宋体" w:cs="宋体"/>
          <w:b/>
          <w:bCs w:val="0"/>
          <w:color w:val="auto"/>
          <w:sz w:val="30"/>
          <w:szCs w:val="30"/>
          <w:highlight w:val="none"/>
          <w:lang w:val="en-US" w:eastAsia="zh-CN"/>
        </w:rPr>
        <w:t>湖北国华项目管理咨询有限公司</w:t>
      </w:r>
    </w:p>
    <w:p w14:paraId="6F418162">
      <w:pPr>
        <w:snapToGrid w:val="0"/>
        <w:spacing w:after="0"/>
        <w:ind w:firstLine="301" w:firstLineChars="100"/>
        <w:jc w:val="center"/>
        <w:rPr>
          <w:rFonts w:ascii="宋体"/>
          <w:bCs/>
          <w:color w:val="auto"/>
          <w:sz w:val="30"/>
          <w:szCs w:val="30"/>
          <w:highlight w:val="none"/>
        </w:rPr>
      </w:pPr>
      <w:r>
        <w:rPr>
          <w:rFonts w:hint="eastAsia" w:ascii="宋体" w:hAnsi="宋体" w:cs="宋体"/>
          <w:b/>
          <w:bCs w:val="0"/>
          <w:color w:val="auto"/>
          <w:sz w:val="30"/>
          <w:szCs w:val="30"/>
          <w:highlight w:val="none"/>
          <w:lang w:val="en-US" w:eastAsia="zh-CN"/>
        </w:rPr>
        <w:t>二○二五年十月</w:t>
      </w:r>
      <w:bookmarkEnd w:id="8"/>
      <w:bookmarkEnd w:id="9"/>
    </w:p>
    <w:p w14:paraId="4BBCB2E5">
      <w:pPr>
        <w:snapToGrid w:val="0"/>
        <w:spacing w:after="0"/>
        <w:ind w:firstLine="300" w:firstLineChars="100"/>
        <w:jc w:val="center"/>
        <w:rPr>
          <w:rFonts w:ascii="宋体"/>
          <w:bCs/>
          <w:color w:val="auto"/>
          <w:sz w:val="30"/>
          <w:szCs w:val="30"/>
          <w:highlight w:val="none"/>
        </w:rPr>
      </w:pPr>
    </w:p>
    <w:p w14:paraId="0DF99E8B">
      <w:pPr>
        <w:widowControl w:val="0"/>
        <w:autoSpaceDE w:val="0"/>
        <w:autoSpaceDN w:val="0"/>
        <w:adjustRightInd w:val="0"/>
        <w:snapToGrid w:val="0"/>
        <w:rPr>
          <w:rFonts w:ascii="宋体" w:hAnsi="宋体" w:cs="宋体"/>
          <w:b/>
          <w:bCs/>
          <w:i/>
          <w:color w:val="auto"/>
          <w:kern w:val="2"/>
          <w:sz w:val="30"/>
          <w:szCs w:val="30"/>
          <w:highlight w:val="none"/>
        </w:rPr>
      </w:pPr>
      <w:bookmarkStart w:id="10" w:name="_Toc43297510"/>
      <w:bookmarkStart w:id="11" w:name="_Toc502493626"/>
      <w:bookmarkStart w:id="12" w:name="_Toc31740"/>
      <w:bookmarkStart w:id="13" w:name="_Toc49247411"/>
      <w:bookmarkStart w:id="14" w:name="_Toc22520"/>
      <w:bookmarkStart w:id="15" w:name="_Toc499133346"/>
      <w:bookmarkStart w:id="16" w:name="_Toc18047"/>
      <w:bookmarkStart w:id="17" w:name="_Toc26136"/>
      <w:bookmarkStart w:id="18" w:name="_Toc29676"/>
    </w:p>
    <w:p w14:paraId="3C43E342">
      <w:pPr>
        <w:spacing w:after="0" w:line="240" w:lineRule="auto"/>
        <w:rPr>
          <w:rFonts w:ascii="宋体" w:hAnsi="宋体" w:cs="宋体"/>
          <w:b/>
          <w:bCs/>
          <w:i/>
          <w:color w:val="auto"/>
          <w:kern w:val="2"/>
          <w:sz w:val="30"/>
          <w:szCs w:val="30"/>
          <w:highlight w:val="none"/>
        </w:rPr>
      </w:pPr>
      <w:r>
        <w:rPr>
          <w:rFonts w:ascii="宋体" w:hAnsi="宋体" w:cs="宋体"/>
          <w:b/>
          <w:bCs/>
          <w:i/>
          <w:color w:val="auto"/>
          <w:kern w:val="2"/>
          <w:sz w:val="30"/>
          <w:szCs w:val="30"/>
          <w:highlight w:val="none"/>
        </w:rPr>
        <w:br w:type="page"/>
      </w:r>
    </w:p>
    <w:bookmarkEnd w:id="10"/>
    <w:bookmarkEnd w:id="11"/>
    <w:bookmarkEnd w:id="12"/>
    <w:bookmarkEnd w:id="13"/>
    <w:bookmarkEnd w:id="14"/>
    <w:bookmarkEnd w:id="15"/>
    <w:bookmarkEnd w:id="16"/>
    <w:bookmarkEnd w:id="17"/>
    <w:bookmarkEnd w:id="18"/>
    <w:p w14:paraId="1D537F56">
      <w:pPr>
        <w:widowControl w:val="0"/>
        <w:autoSpaceDE w:val="0"/>
        <w:autoSpaceDN w:val="0"/>
        <w:adjustRightInd w:val="0"/>
        <w:snapToGrid w:val="0"/>
        <w:spacing w:after="0" w:line="240" w:lineRule="auto"/>
        <w:jc w:val="center"/>
        <w:outlineLvl w:val="0"/>
        <w:rPr>
          <w:rFonts w:ascii="宋体" w:hAnsi="宋体" w:cs="宋体"/>
          <w:b/>
          <w:bCs/>
          <w:color w:val="auto"/>
          <w:kern w:val="2"/>
          <w:sz w:val="30"/>
          <w:szCs w:val="30"/>
          <w:highlight w:val="none"/>
        </w:rPr>
      </w:pPr>
      <w:bookmarkStart w:id="19" w:name="_Toc113606433"/>
      <w:bookmarkStart w:id="20" w:name="_Toc141260227"/>
      <w:bookmarkStart w:id="21" w:name="_Toc97886956"/>
      <w:bookmarkStart w:id="22" w:name="_Toc49188167"/>
      <w:r>
        <w:rPr>
          <w:rFonts w:hint="eastAsia" w:ascii="宋体" w:hAnsi="宋体" w:cs="宋体"/>
          <w:b/>
          <w:bCs/>
          <w:color w:val="auto"/>
          <w:kern w:val="2"/>
          <w:sz w:val="30"/>
          <w:szCs w:val="30"/>
          <w:highlight w:val="none"/>
        </w:rPr>
        <w:t>“阳光招采电子招标投标交易平台”相关操作说明</w:t>
      </w:r>
      <w:bookmarkEnd w:id="19"/>
      <w:bookmarkEnd w:id="20"/>
      <w:bookmarkEnd w:id="21"/>
    </w:p>
    <w:p w14:paraId="2748CED9">
      <w:pPr>
        <w:keepNext w:val="0"/>
        <w:keepLines w:val="0"/>
        <w:pageBreakBefore w:val="0"/>
        <w:widowControl w:val="0"/>
        <w:numPr>
          <w:ilvl w:val="0"/>
          <w:numId w:val="1"/>
        </w:numPr>
        <w:tabs>
          <w:tab w:val="left" w:pos="426"/>
        </w:tabs>
        <w:kinsoku/>
        <w:wordWrap w:val="0"/>
        <w:overflowPunct/>
        <w:topLinePunct w:val="0"/>
        <w:autoSpaceDE w:val="0"/>
        <w:autoSpaceDN w:val="0"/>
        <w:bidi w:val="0"/>
        <w:adjustRightInd w:val="0"/>
        <w:snapToGrid w:val="0"/>
        <w:spacing w:after="0" w:line="240" w:lineRule="auto"/>
        <w:jc w:val="both"/>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前言</w:t>
      </w:r>
      <w:bookmarkEnd w:id="22"/>
    </w:p>
    <w:p w14:paraId="2F34350C">
      <w:pPr>
        <w:keepNext w:val="0"/>
        <w:keepLines w:val="0"/>
        <w:pageBreakBefore w:val="0"/>
        <w:widowControl w:val="0"/>
        <w:tabs>
          <w:tab w:val="left" w:pos="709"/>
          <w:tab w:val="left" w:pos="993"/>
        </w:tabs>
        <w:kinsoku/>
        <w:wordWrap w:val="0"/>
        <w:overflowPunct/>
        <w:topLinePunct w:val="0"/>
        <w:autoSpaceDE w:val="0"/>
        <w:autoSpaceDN w:val="0"/>
        <w:bidi w:val="0"/>
        <w:adjustRightInd w:val="0"/>
        <w:snapToGrid w:val="0"/>
        <w:spacing w:line="240" w:lineRule="auto"/>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本项目为全流程电子标，投标人在阳光招采电子招标投标交易平台（网址：https://www.yangguangzhaocai.com）获取采购文件后，应仔细阅读本操作说明，更详细的操作帮助文档详见</w:t>
      </w:r>
      <w:r>
        <w:rPr>
          <w:rFonts w:ascii="宋体" w:hAnsi="宋体" w:cs="宋体"/>
          <w:color w:val="auto"/>
          <w:sz w:val="24"/>
          <w:szCs w:val="24"/>
          <w:highlight w:val="none"/>
        </w:rPr>
        <w:t>“电子交易平台---帮助中心”</w:t>
      </w:r>
      <w:r>
        <w:rPr>
          <w:rFonts w:hint="eastAsia" w:ascii="宋体" w:hAnsi="宋体" w:cs="宋体"/>
          <w:color w:val="auto"/>
          <w:sz w:val="24"/>
          <w:szCs w:val="24"/>
          <w:highlight w:val="none"/>
        </w:rPr>
        <w:t>。</w:t>
      </w:r>
    </w:p>
    <w:p w14:paraId="00E3DB84">
      <w:pPr>
        <w:keepNext w:val="0"/>
        <w:keepLines w:val="0"/>
        <w:pageBreakBefore w:val="0"/>
        <w:widowControl w:val="0"/>
        <w:numPr>
          <w:ilvl w:val="0"/>
          <w:numId w:val="1"/>
        </w:numPr>
        <w:tabs>
          <w:tab w:val="left" w:pos="426"/>
        </w:tabs>
        <w:kinsoku/>
        <w:wordWrap w:val="0"/>
        <w:overflowPunct/>
        <w:topLinePunct w:val="0"/>
        <w:autoSpaceDE w:val="0"/>
        <w:autoSpaceDN w:val="0"/>
        <w:bidi w:val="0"/>
        <w:adjustRightInd w:val="0"/>
        <w:snapToGrid w:val="0"/>
        <w:spacing w:after="0" w:line="240" w:lineRule="auto"/>
        <w:jc w:val="both"/>
        <w:textAlignment w:val="auto"/>
        <w:rPr>
          <w:rFonts w:ascii="宋体" w:hAnsi="宋体" w:cs="宋体"/>
          <w:b/>
          <w:color w:val="auto"/>
          <w:sz w:val="24"/>
          <w:szCs w:val="24"/>
          <w:highlight w:val="none"/>
        </w:rPr>
      </w:pPr>
      <w:bookmarkStart w:id="23" w:name="_Toc49188168"/>
      <w:r>
        <w:rPr>
          <w:rFonts w:hint="eastAsia" w:ascii="宋体" w:hAnsi="宋体" w:cs="宋体"/>
          <w:b/>
          <w:color w:val="auto"/>
          <w:sz w:val="24"/>
          <w:szCs w:val="24"/>
          <w:highlight w:val="none"/>
        </w:rPr>
        <w:t>平台功能</w:t>
      </w:r>
      <w:bookmarkEnd w:id="23"/>
      <w:r>
        <w:rPr>
          <w:rFonts w:hint="eastAsia" w:ascii="宋体" w:hAnsi="宋体" w:cs="宋体"/>
          <w:b/>
          <w:color w:val="auto"/>
          <w:sz w:val="24"/>
          <w:szCs w:val="24"/>
          <w:highlight w:val="none"/>
        </w:rPr>
        <w:t>简介</w:t>
      </w:r>
    </w:p>
    <w:p w14:paraId="4068F560">
      <w:pPr>
        <w:keepNext w:val="0"/>
        <w:keepLines w:val="0"/>
        <w:pageBreakBefore w:val="0"/>
        <w:widowControl w:val="0"/>
        <w:tabs>
          <w:tab w:val="left" w:pos="709"/>
          <w:tab w:val="left" w:pos="993"/>
        </w:tabs>
        <w:kinsoku/>
        <w:wordWrap w:val="0"/>
        <w:overflowPunct/>
        <w:topLinePunct w:val="0"/>
        <w:autoSpaceDE w:val="0"/>
        <w:autoSpaceDN w:val="0"/>
        <w:bidi w:val="0"/>
        <w:adjustRightInd w:val="0"/>
        <w:snapToGrid w:val="0"/>
        <w:spacing w:line="240" w:lineRule="auto"/>
        <w:ind w:firstLine="422"/>
        <w:textAlignment w:val="auto"/>
        <w:rPr>
          <w:rFonts w:ascii="宋体" w:hAnsi="宋体" w:cs="宋体"/>
          <w:b/>
          <w:color w:val="auto"/>
          <w:sz w:val="24"/>
          <w:szCs w:val="24"/>
          <w:highlight w:val="none"/>
        </w:rPr>
      </w:pPr>
      <w:r>
        <w:rPr>
          <w:rFonts w:hint="eastAsia" w:ascii="宋体" w:hAnsi="宋体" w:cs="宋体"/>
          <w:color w:val="auto"/>
          <w:sz w:val="24"/>
          <w:szCs w:val="24"/>
          <w:highlight w:val="none"/>
        </w:rPr>
        <w:t>招投标相关</w:t>
      </w:r>
      <w:r>
        <w:rPr>
          <w:rFonts w:ascii="宋体" w:hAnsi="宋体" w:cs="宋体"/>
          <w:color w:val="auto"/>
          <w:sz w:val="24"/>
          <w:szCs w:val="24"/>
          <w:highlight w:val="none"/>
        </w:rPr>
        <w:t>各方</w:t>
      </w:r>
      <w:r>
        <w:rPr>
          <w:rFonts w:hint="eastAsia" w:ascii="宋体" w:hAnsi="宋体" w:cs="宋体"/>
          <w:color w:val="auto"/>
          <w:sz w:val="24"/>
          <w:szCs w:val="24"/>
          <w:highlight w:val="none"/>
        </w:rPr>
        <w:t>以“CA数字证书”为身份验证和安全保障工具，可在平台开展全流程电子招标投标活动，包括：发布招标公告/邀请函、变更公告、发布上传招标文件、澄清答疑、招标文件变更补遗、递交资格材料、审核资格材料、下载招标文件、网上异议/质疑、编制及上传投标文件、网上开标、远程解密、查看开标信息、定标公示等内容。</w:t>
      </w:r>
    </w:p>
    <w:p w14:paraId="159A33FA">
      <w:pPr>
        <w:keepNext w:val="0"/>
        <w:keepLines w:val="0"/>
        <w:pageBreakBefore w:val="0"/>
        <w:widowControl w:val="0"/>
        <w:numPr>
          <w:ilvl w:val="0"/>
          <w:numId w:val="1"/>
        </w:numPr>
        <w:tabs>
          <w:tab w:val="left" w:pos="426"/>
        </w:tabs>
        <w:kinsoku/>
        <w:wordWrap w:val="0"/>
        <w:overflowPunct/>
        <w:topLinePunct w:val="0"/>
        <w:autoSpaceDE w:val="0"/>
        <w:autoSpaceDN w:val="0"/>
        <w:bidi w:val="0"/>
        <w:adjustRightInd w:val="0"/>
        <w:snapToGrid w:val="0"/>
        <w:spacing w:after="0" w:line="240" w:lineRule="auto"/>
        <w:jc w:val="both"/>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编制电子投标文件需要的软、硬件环境</w:t>
      </w:r>
    </w:p>
    <w:p w14:paraId="57C8C36D">
      <w:pPr>
        <w:keepNext w:val="0"/>
        <w:keepLines w:val="0"/>
        <w:pageBreakBefore w:val="0"/>
        <w:widowControl w:val="0"/>
        <w:tabs>
          <w:tab w:val="left" w:pos="709"/>
          <w:tab w:val="left" w:pos="993"/>
        </w:tabs>
        <w:kinsoku/>
        <w:wordWrap w:val="0"/>
        <w:overflowPunct/>
        <w:topLinePunct w:val="0"/>
        <w:autoSpaceDE w:val="0"/>
        <w:autoSpaceDN w:val="0"/>
        <w:bidi w:val="0"/>
        <w:adjustRightInd w:val="0"/>
        <w:snapToGrid w:val="0"/>
        <w:spacing w:after="0" w:line="24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1、用于</w:t>
      </w:r>
      <w:r>
        <w:rPr>
          <w:rFonts w:ascii="宋体" w:hAnsi="宋体" w:cs="宋体"/>
          <w:color w:val="auto"/>
          <w:sz w:val="24"/>
          <w:szCs w:val="24"/>
          <w:highlight w:val="none"/>
        </w:rPr>
        <w:t>编制</w:t>
      </w:r>
      <w:r>
        <w:rPr>
          <w:rFonts w:hint="eastAsia" w:ascii="宋体" w:hAnsi="宋体" w:cs="宋体"/>
          <w:color w:val="auto"/>
          <w:sz w:val="24"/>
          <w:szCs w:val="24"/>
          <w:highlight w:val="none"/>
        </w:rPr>
        <w:t>、</w:t>
      </w:r>
      <w:r>
        <w:rPr>
          <w:rFonts w:ascii="宋体" w:hAnsi="宋体" w:cs="宋体"/>
          <w:color w:val="auto"/>
          <w:sz w:val="24"/>
          <w:szCs w:val="24"/>
          <w:highlight w:val="none"/>
        </w:rPr>
        <w:t>上传、解密投标文件的电脑应</w:t>
      </w:r>
      <w:r>
        <w:rPr>
          <w:rFonts w:hint="eastAsia" w:ascii="宋体" w:hAnsi="宋体" w:cs="宋体"/>
          <w:color w:val="auto"/>
          <w:sz w:val="24"/>
          <w:szCs w:val="24"/>
          <w:highlight w:val="none"/>
        </w:rPr>
        <w:t>为</w:t>
      </w:r>
      <w:r>
        <w:rPr>
          <w:rFonts w:ascii="宋体" w:hAnsi="宋体" w:cs="宋体"/>
          <w:color w:val="auto"/>
          <w:sz w:val="24"/>
          <w:szCs w:val="24"/>
          <w:highlight w:val="none"/>
        </w:rPr>
        <w:t>win7</w:t>
      </w:r>
      <w:r>
        <w:rPr>
          <w:rFonts w:hint="eastAsia" w:ascii="宋体" w:hAnsi="宋体" w:cs="宋体"/>
          <w:color w:val="auto"/>
          <w:sz w:val="24"/>
          <w:szCs w:val="24"/>
          <w:highlight w:val="none"/>
        </w:rPr>
        <w:t>以上</w:t>
      </w:r>
      <w:r>
        <w:rPr>
          <w:rFonts w:ascii="宋体" w:hAnsi="宋体" w:cs="宋体"/>
          <w:color w:val="auto"/>
          <w:sz w:val="24"/>
          <w:szCs w:val="24"/>
          <w:highlight w:val="none"/>
        </w:rPr>
        <w:t>操作系统，装</w:t>
      </w:r>
      <w:r>
        <w:rPr>
          <w:rFonts w:hint="eastAsia" w:ascii="宋体" w:hAnsi="宋体" w:cs="宋体"/>
          <w:color w:val="auto"/>
          <w:sz w:val="24"/>
          <w:szCs w:val="24"/>
          <w:highlight w:val="none"/>
        </w:rPr>
        <w:t>有微软E</w:t>
      </w:r>
      <w:r>
        <w:rPr>
          <w:rFonts w:ascii="宋体" w:hAnsi="宋体" w:cs="宋体"/>
          <w:color w:val="auto"/>
          <w:sz w:val="24"/>
          <w:szCs w:val="24"/>
          <w:highlight w:val="none"/>
        </w:rPr>
        <w:t>dge、</w:t>
      </w:r>
      <w:r>
        <w:rPr>
          <w:rFonts w:hint="eastAsia" w:ascii="宋体" w:hAnsi="宋体" w:cs="宋体"/>
          <w:color w:val="auto"/>
          <w:sz w:val="24"/>
          <w:szCs w:val="24"/>
          <w:highlight w:val="none"/>
        </w:rPr>
        <w:t>谷歌</w:t>
      </w:r>
      <w:r>
        <w:rPr>
          <w:rFonts w:ascii="宋体" w:hAnsi="宋体" w:cs="宋体"/>
          <w:color w:val="auto"/>
          <w:sz w:val="24"/>
          <w:szCs w:val="24"/>
          <w:highlight w:val="none"/>
        </w:rPr>
        <w:t>Chrome</w:t>
      </w:r>
      <w:r>
        <w:rPr>
          <w:rFonts w:hint="eastAsia" w:ascii="宋体" w:hAnsi="宋体" w:cs="宋体"/>
          <w:color w:val="auto"/>
          <w:sz w:val="24"/>
          <w:szCs w:val="24"/>
          <w:highlight w:val="none"/>
        </w:rPr>
        <w:t>、3</w:t>
      </w:r>
      <w:r>
        <w:rPr>
          <w:rFonts w:ascii="宋体" w:hAnsi="宋体" w:cs="宋体"/>
          <w:color w:val="auto"/>
          <w:sz w:val="24"/>
          <w:szCs w:val="24"/>
          <w:highlight w:val="none"/>
        </w:rPr>
        <w:t>60</w:t>
      </w:r>
      <w:r>
        <w:rPr>
          <w:rFonts w:hint="eastAsia" w:ascii="宋体" w:hAnsi="宋体" w:cs="宋体"/>
          <w:color w:val="auto"/>
          <w:sz w:val="24"/>
          <w:szCs w:val="24"/>
          <w:highlight w:val="none"/>
        </w:rPr>
        <w:t>、火狐</w:t>
      </w:r>
      <w:r>
        <w:rPr>
          <w:rFonts w:ascii="宋体" w:hAnsi="宋体" w:cs="宋体"/>
          <w:color w:val="auto"/>
          <w:sz w:val="24"/>
          <w:szCs w:val="24"/>
          <w:highlight w:val="none"/>
        </w:rPr>
        <w:t>Firefox</w:t>
      </w:r>
      <w:r>
        <w:rPr>
          <w:rFonts w:hint="eastAsia" w:ascii="宋体" w:hAnsi="宋体" w:cs="宋体"/>
          <w:color w:val="auto"/>
          <w:sz w:val="24"/>
          <w:szCs w:val="24"/>
          <w:highlight w:val="none"/>
        </w:rPr>
        <w:t>等主流</w:t>
      </w:r>
      <w:r>
        <w:rPr>
          <w:rFonts w:ascii="宋体" w:hAnsi="宋体" w:cs="宋体"/>
          <w:color w:val="auto"/>
          <w:sz w:val="24"/>
          <w:szCs w:val="24"/>
          <w:highlight w:val="none"/>
        </w:rPr>
        <w:t>浏览器</w:t>
      </w:r>
      <w:r>
        <w:rPr>
          <w:rFonts w:hint="eastAsia" w:ascii="宋体" w:hAnsi="宋体" w:cs="宋体"/>
          <w:color w:val="auto"/>
          <w:sz w:val="24"/>
          <w:szCs w:val="24"/>
          <w:highlight w:val="none"/>
        </w:rPr>
        <w:t>（</w:t>
      </w:r>
      <w:r>
        <w:rPr>
          <w:rFonts w:ascii="宋体" w:hAnsi="宋体" w:cs="宋体"/>
          <w:b/>
          <w:color w:val="auto"/>
          <w:sz w:val="24"/>
          <w:szCs w:val="24"/>
          <w:highlight w:val="none"/>
        </w:rPr>
        <w:t>本系统不支持</w:t>
      </w:r>
      <w:r>
        <w:rPr>
          <w:rFonts w:hint="eastAsia" w:ascii="宋体" w:hAnsi="宋体" w:cs="宋体"/>
          <w:b/>
          <w:color w:val="auto"/>
          <w:sz w:val="24"/>
          <w:szCs w:val="24"/>
          <w:highlight w:val="none"/>
        </w:rPr>
        <w:t>IE</w:t>
      </w:r>
      <w:r>
        <w:rPr>
          <w:rFonts w:ascii="宋体" w:hAnsi="宋体" w:cs="宋体"/>
          <w:b/>
          <w:color w:val="auto"/>
          <w:sz w:val="24"/>
          <w:szCs w:val="24"/>
          <w:highlight w:val="none"/>
        </w:rPr>
        <w:t>浏览器</w:t>
      </w:r>
      <w:r>
        <w:rPr>
          <w:rFonts w:ascii="宋体" w:hAnsi="宋体" w:cs="宋体"/>
          <w:color w:val="auto"/>
          <w:sz w:val="24"/>
          <w:szCs w:val="24"/>
          <w:highlight w:val="none"/>
        </w:rPr>
        <w:t>）</w:t>
      </w:r>
      <w:r>
        <w:rPr>
          <w:rFonts w:hint="eastAsia" w:ascii="宋体" w:hAnsi="宋体" w:cs="宋体"/>
          <w:color w:val="auto"/>
          <w:sz w:val="24"/>
          <w:szCs w:val="24"/>
          <w:highlight w:val="none"/>
        </w:rPr>
        <w:t>、WPS</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或 Office Word 2013以上版本；</w:t>
      </w:r>
    </w:p>
    <w:p w14:paraId="4BFE22FC">
      <w:pPr>
        <w:keepNext w:val="0"/>
        <w:keepLines w:val="0"/>
        <w:pageBreakBefore w:val="0"/>
        <w:widowControl w:val="0"/>
        <w:tabs>
          <w:tab w:val="left" w:pos="709"/>
          <w:tab w:val="left" w:pos="993"/>
        </w:tabs>
        <w:kinsoku/>
        <w:wordWrap w:val="0"/>
        <w:overflowPunct/>
        <w:topLinePunct w:val="0"/>
        <w:autoSpaceDE w:val="0"/>
        <w:autoSpaceDN w:val="0"/>
        <w:bidi w:val="0"/>
        <w:adjustRightInd w:val="0"/>
        <w:snapToGrid w:val="0"/>
        <w:spacing w:after="0" w:line="240" w:lineRule="auto"/>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、从</w:t>
      </w:r>
      <w:r>
        <w:rPr>
          <w:rFonts w:ascii="宋体" w:hAnsi="宋体" w:cs="宋体"/>
          <w:color w:val="auto"/>
          <w:sz w:val="24"/>
          <w:szCs w:val="24"/>
          <w:highlight w:val="none"/>
        </w:rPr>
        <w:t>阳光招采平台取得</w:t>
      </w:r>
      <w:r>
        <w:rPr>
          <w:rFonts w:hint="eastAsia" w:ascii="宋体" w:hAnsi="宋体" w:cs="宋体"/>
          <w:color w:val="auto"/>
          <w:sz w:val="24"/>
          <w:szCs w:val="24"/>
          <w:highlight w:val="none"/>
        </w:rPr>
        <w:t>C</w:t>
      </w:r>
      <w:r>
        <w:rPr>
          <w:rFonts w:ascii="宋体" w:hAnsi="宋体" w:cs="宋体"/>
          <w:color w:val="auto"/>
          <w:sz w:val="24"/>
          <w:szCs w:val="24"/>
          <w:highlight w:val="none"/>
        </w:rPr>
        <w:t>A</w:t>
      </w:r>
      <w:r>
        <w:rPr>
          <w:rFonts w:hint="eastAsia" w:ascii="宋体" w:hAnsi="宋体" w:cs="宋体"/>
          <w:color w:val="auto"/>
          <w:sz w:val="24"/>
          <w:szCs w:val="24"/>
          <w:highlight w:val="none"/>
        </w:rPr>
        <w:t>数字</w:t>
      </w:r>
      <w:r>
        <w:rPr>
          <w:rFonts w:ascii="宋体" w:hAnsi="宋体" w:cs="宋体"/>
          <w:color w:val="auto"/>
          <w:sz w:val="24"/>
          <w:szCs w:val="24"/>
          <w:highlight w:val="none"/>
        </w:rPr>
        <w:t>证书</w:t>
      </w:r>
      <w:r>
        <w:rPr>
          <w:rFonts w:hint="eastAsia" w:ascii="宋体" w:hAnsi="宋体" w:cs="宋体"/>
          <w:color w:val="auto"/>
          <w:sz w:val="24"/>
          <w:szCs w:val="24"/>
          <w:highlight w:val="none"/>
        </w:rPr>
        <w:t>（老用户可</w:t>
      </w:r>
      <w:r>
        <w:rPr>
          <w:rFonts w:ascii="宋体" w:hAnsi="宋体" w:cs="宋体"/>
          <w:color w:val="auto"/>
          <w:sz w:val="24"/>
          <w:szCs w:val="24"/>
          <w:highlight w:val="none"/>
        </w:rPr>
        <w:t>沿用</w:t>
      </w:r>
      <w:r>
        <w:rPr>
          <w:rFonts w:hint="eastAsia" w:ascii="宋体" w:hAnsi="宋体" w:cs="宋体"/>
          <w:color w:val="auto"/>
          <w:sz w:val="24"/>
          <w:szCs w:val="24"/>
          <w:highlight w:val="none"/>
        </w:rPr>
        <w:t>之前在</w:t>
      </w:r>
      <w:r>
        <w:rPr>
          <w:rFonts w:ascii="宋体" w:hAnsi="宋体" w:cs="宋体"/>
          <w:color w:val="auto"/>
          <w:sz w:val="24"/>
          <w:szCs w:val="24"/>
          <w:highlight w:val="none"/>
        </w:rPr>
        <w:t>老平台办</w:t>
      </w:r>
      <w:r>
        <w:rPr>
          <w:rFonts w:hint="eastAsia" w:ascii="宋体" w:hAnsi="宋体" w:cs="宋体"/>
          <w:color w:val="auto"/>
          <w:sz w:val="24"/>
          <w:szCs w:val="24"/>
          <w:highlight w:val="none"/>
        </w:rPr>
        <w:t>理</w:t>
      </w:r>
      <w:r>
        <w:rPr>
          <w:rFonts w:ascii="宋体" w:hAnsi="宋体" w:cs="宋体"/>
          <w:color w:val="auto"/>
          <w:sz w:val="24"/>
          <w:szCs w:val="24"/>
          <w:highlight w:val="none"/>
        </w:rPr>
        <w:t>过的</w:t>
      </w:r>
      <w:r>
        <w:rPr>
          <w:rFonts w:hint="eastAsia" w:ascii="宋体" w:hAnsi="宋体" w:cs="宋体"/>
          <w:color w:val="auto"/>
          <w:sz w:val="24"/>
          <w:szCs w:val="24"/>
          <w:highlight w:val="none"/>
        </w:rPr>
        <w:t>CA证书</w:t>
      </w:r>
      <w:r>
        <w:rPr>
          <w:rFonts w:ascii="宋体" w:hAnsi="宋体" w:cs="宋体"/>
          <w:color w:val="auto"/>
          <w:sz w:val="24"/>
          <w:szCs w:val="24"/>
          <w:highlight w:val="none"/>
        </w:rPr>
        <w:t>）</w:t>
      </w:r>
      <w:r>
        <w:rPr>
          <w:rFonts w:hint="eastAsia" w:ascii="宋体" w:hAnsi="宋体" w:cs="宋体"/>
          <w:color w:val="auto"/>
          <w:sz w:val="24"/>
          <w:szCs w:val="24"/>
          <w:highlight w:val="none"/>
        </w:rPr>
        <w:t>；</w:t>
      </w:r>
    </w:p>
    <w:p w14:paraId="6F90F715">
      <w:pPr>
        <w:keepNext w:val="0"/>
        <w:keepLines w:val="0"/>
        <w:pageBreakBefore w:val="0"/>
        <w:widowControl w:val="0"/>
        <w:tabs>
          <w:tab w:val="left" w:pos="709"/>
          <w:tab w:val="left" w:pos="993"/>
        </w:tabs>
        <w:kinsoku/>
        <w:wordWrap w:val="0"/>
        <w:overflowPunct/>
        <w:topLinePunct w:val="0"/>
        <w:autoSpaceDE w:val="0"/>
        <w:autoSpaceDN w:val="0"/>
        <w:bidi w:val="0"/>
        <w:adjustRightInd w:val="0"/>
        <w:snapToGrid w:val="0"/>
        <w:spacing w:after="0" w:line="240" w:lineRule="auto"/>
        <w:ind w:firstLine="480" w:firstLineChars="200"/>
        <w:textAlignment w:val="auto"/>
        <w:rPr>
          <w:rFonts w:ascii="宋体" w:hAnsi="宋体" w:cs="宋体"/>
          <w:b/>
          <w:color w:val="auto"/>
          <w:sz w:val="24"/>
          <w:szCs w:val="24"/>
          <w:highlight w:val="none"/>
        </w:rPr>
      </w:pPr>
      <w:r>
        <w:rPr>
          <w:rFonts w:hint="eastAsia" w:ascii="宋体" w:hAnsi="宋体" w:cs="宋体"/>
          <w:color w:val="auto"/>
          <w:sz w:val="24"/>
          <w:szCs w:val="24"/>
          <w:highlight w:val="none"/>
        </w:rPr>
        <w:t>3、从阳光招采网站</w:t>
      </w:r>
      <w:r>
        <w:rPr>
          <w:rFonts w:ascii="宋体" w:hAnsi="宋体" w:cs="宋体"/>
          <w:color w:val="auto"/>
          <w:sz w:val="24"/>
          <w:szCs w:val="24"/>
          <w:highlight w:val="none"/>
        </w:rPr>
        <w:t>首页</w:t>
      </w:r>
      <w:r>
        <w:rPr>
          <w:rFonts w:hint="eastAsia" w:ascii="宋体" w:hAnsi="宋体" w:cs="宋体"/>
          <w:color w:val="auto"/>
          <w:sz w:val="24"/>
          <w:szCs w:val="24"/>
          <w:highlight w:val="none"/>
        </w:rPr>
        <w:t>右侧区域【帮助中心】→【工具软件】中下载并</w:t>
      </w:r>
      <w:r>
        <w:rPr>
          <w:rFonts w:ascii="宋体" w:hAnsi="宋体" w:cs="宋体"/>
          <w:color w:val="auto"/>
          <w:sz w:val="24"/>
          <w:szCs w:val="24"/>
          <w:highlight w:val="none"/>
        </w:rPr>
        <w:t>安装</w:t>
      </w:r>
      <w:r>
        <w:rPr>
          <w:rFonts w:hint="eastAsia" w:ascii="宋体" w:hAnsi="宋体" w:cs="宋体"/>
          <w:color w:val="auto"/>
          <w:sz w:val="24"/>
          <w:szCs w:val="24"/>
          <w:highlight w:val="none"/>
        </w:rPr>
        <w:t>“数字签名服务驱动</w:t>
      </w:r>
      <w:r>
        <w:rPr>
          <w:rFonts w:ascii="宋体" w:hAnsi="宋体" w:cs="宋体"/>
          <w:color w:val="auto"/>
          <w:sz w:val="24"/>
          <w:szCs w:val="24"/>
          <w:highlight w:val="none"/>
        </w:rPr>
        <w:t>”</w:t>
      </w:r>
      <w:r>
        <w:rPr>
          <w:rFonts w:hint="eastAsia" w:ascii="宋体" w:hAnsi="宋体" w:cs="宋体"/>
          <w:color w:val="auto"/>
          <w:sz w:val="24"/>
          <w:szCs w:val="24"/>
          <w:highlight w:val="none"/>
        </w:rPr>
        <w:t>（以前</w:t>
      </w:r>
      <w:r>
        <w:rPr>
          <w:rFonts w:ascii="宋体" w:hAnsi="宋体" w:cs="宋体"/>
          <w:color w:val="auto"/>
          <w:sz w:val="24"/>
          <w:szCs w:val="24"/>
          <w:highlight w:val="none"/>
        </w:rPr>
        <w:t>安装过</w:t>
      </w:r>
      <w:r>
        <w:rPr>
          <w:rFonts w:hint="eastAsia" w:ascii="宋体" w:hAnsi="宋体" w:cs="宋体"/>
          <w:color w:val="auto"/>
          <w:sz w:val="24"/>
          <w:szCs w:val="24"/>
          <w:highlight w:val="none"/>
        </w:rPr>
        <w:t>老</w:t>
      </w:r>
      <w:r>
        <w:rPr>
          <w:rFonts w:ascii="宋体" w:hAnsi="宋体" w:cs="宋体"/>
          <w:color w:val="auto"/>
          <w:sz w:val="24"/>
          <w:szCs w:val="24"/>
          <w:highlight w:val="none"/>
        </w:rPr>
        <w:t>平台驱动的</w:t>
      </w:r>
      <w:r>
        <w:rPr>
          <w:rFonts w:hint="eastAsia" w:ascii="宋体" w:hAnsi="宋体" w:cs="宋体"/>
          <w:color w:val="auto"/>
          <w:sz w:val="24"/>
          <w:szCs w:val="24"/>
          <w:highlight w:val="none"/>
        </w:rPr>
        <w:t>仍需重新下载</w:t>
      </w:r>
      <w:r>
        <w:rPr>
          <w:rFonts w:ascii="宋体" w:hAnsi="宋体" w:cs="宋体"/>
          <w:color w:val="auto"/>
          <w:sz w:val="24"/>
          <w:szCs w:val="24"/>
          <w:highlight w:val="none"/>
        </w:rPr>
        <w:t>安装）</w:t>
      </w:r>
      <w:r>
        <w:rPr>
          <w:rFonts w:hint="eastAsia" w:ascii="宋体" w:hAnsi="宋体" w:cs="宋体"/>
          <w:color w:val="auto"/>
          <w:sz w:val="24"/>
          <w:szCs w:val="24"/>
          <w:highlight w:val="none"/>
        </w:rPr>
        <w:t>，用户可点击右上角“驱动安装指南”进行环境检测与自动修复；</w:t>
      </w:r>
    </w:p>
    <w:p w14:paraId="2763E328">
      <w:pPr>
        <w:keepNext w:val="0"/>
        <w:keepLines w:val="0"/>
        <w:pageBreakBefore w:val="0"/>
        <w:widowControl w:val="0"/>
        <w:tabs>
          <w:tab w:val="left" w:pos="709"/>
          <w:tab w:val="left" w:pos="993"/>
        </w:tabs>
        <w:kinsoku/>
        <w:wordWrap w:val="0"/>
        <w:overflowPunct/>
        <w:topLinePunct w:val="0"/>
        <w:autoSpaceDE w:val="0"/>
        <w:autoSpaceDN w:val="0"/>
        <w:bidi w:val="0"/>
        <w:adjustRightInd w:val="0"/>
        <w:snapToGrid w:val="0"/>
        <w:spacing w:after="0" w:line="240" w:lineRule="auto"/>
        <w:ind w:firstLine="480" w:firstLineChars="200"/>
        <w:textAlignment w:val="auto"/>
        <w:rPr>
          <w:rFonts w:ascii="宋体" w:hAnsi="宋体" w:cs="宋体"/>
          <w:b/>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、在线编制投标文件</w:t>
      </w:r>
      <w:r>
        <w:rPr>
          <w:rFonts w:ascii="宋体" w:hAnsi="宋体" w:cs="宋体"/>
          <w:color w:val="auto"/>
          <w:sz w:val="24"/>
          <w:szCs w:val="24"/>
          <w:highlight w:val="none"/>
        </w:rPr>
        <w:t>时，</w:t>
      </w:r>
      <w:r>
        <w:rPr>
          <w:rFonts w:hint="eastAsia" w:ascii="宋体" w:hAnsi="宋体" w:cs="宋体"/>
          <w:color w:val="auto"/>
          <w:sz w:val="24"/>
          <w:szCs w:val="24"/>
          <w:highlight w:val="none"/>
        </w:rPr>
        <w:t>选择所投项目标段，点击导航栏【招标文件（供应商）】-下载文件处编辑，详细操作</w:t>
      </w:r>
      <w:r>
        <w:rPr>
          <w:rFonts w:ascii="宋体" w:hAnsi="宋体" w:cs="宋体"/>
          <w:color w:val="auto"/>
          <w:sz w:val="24"/>
          <w:szCs w:val="24"/>
          <w:highlight w:val="none"/>
        </w:rPr>
        <w:t>说明</w:t>
      </w:r>
      <w:r>
        <w:rPr>
          <w:rFonts w:hint="eastAsia" w:ascii="宋体" w:hAnsi="宋体" w:cs="宋体"/>
          <w:color w:val="auto"/>
          <w:sz w:val="24"/>
          <w:szCs w:val="24"/>
          <w:highlight w:val="none"/>
        </w:rPr>
        <w:t>见</w:t>
      </w:r>
      <w:r>
        <w:rPr>
          <w:rFonts w:ascii="宋体" w:hAnsi="宋体" w:cs="宋体"/>
          <w:color w:val="auto"/>
          <w:sz w:val="24"/>
          <w:szCs w:val="24"/>
          <w:highlight w:val="none"/>
        </w:rPr>
        <w:t>平台首页</w:t>
      </w:r>
      <w:r>
        <w:rPr>
          <w:rFonts w:hint="eastAsia" w:ascii="宋体" w:hAnsi="宋体" w:cs="宋体"/>
          <w:color w:val="auto"/>
          <w:sz w:val="24"/>
          <w:szCs w:val="24"/>
          <w:highlight w:val="none"/>
        </w:rPr>
        <w:t>【帮助中心】—【帮助文档】—【投标人】→《投标人</w:t>
      </w:r>
      <w:r>
        <w:rPr>
          <w:rFonts w:ascii="宋体" w:hAnsi="宋体" w:cs="宋体"/>
          <w:color w:val="auto"/>
          <w:sz w:val="24"/>
          <w:szCs w:val="24"/>
          <w:highlight w:val="none"/>
        </w:rPr>
        <w:t>-编制及上传电子投标文件操作指南》</w:t>
      </w:r>
      <w:r>
        <w:rPr>
          <w:rFonts w:hint="eastAsia" w:ascii="宋体" w:hAnsi="宋体" w:cs="宋体"/>
          <w:color w:val="auto"/>
          <w:sz w:val="24"/>
          <w:szCs w:val="24"/>
          <w:highlight w:val="none"/>
        </w:rPr>
        <w:t>，投标</w:t>
      </w:r>
      <w:r>
        <w:rPr>
          <w:rFonts w:ascii="宋体" w:hAnsi="宋体" w:cs="宋体"/>
          <w:color w:val="auto"/>
          <w:sz w:val="24"/>
          <w:szCs w:val="24"/>
          <w:highlight w:val="none"/>
        </w:rPr>
        <w:t>文件</w:t>
      </w:r>
      <w:r>
        <w:rPr>
          <w:rFonts w:hint="eastAsia" w:ascii="宋体" w:hAnsi="宋体" w:cs="宋体"/>
          <w:color w:val="auto"/>
          <w:sz w:val="24"/>
          <w:szCs w:val="24"/>
          <w:highlight w:val="none"/>
        </w:rPr>
        <w:t>内容编制完成后，在签章和加密投标文件时需要插入企业CA。</w:t>
      </w:r>
    </w:p>
    <w:p w14:paraId="3E0E3931">
      <w:pPr>
        <w:keepNext w:val="0"/>
        <w:keepLines w:val="0"/>
        <w:pageBreakBefore w:val="0"/>
        <w:widowControl w:val="0"/>
        <w:numPr>
          <w:ilvl w:val="0"/>
          <w:numId w:val="1"/>
        </w:numPr>
        <w:tabs>
          <w:tab w:val="left" w:pos="426"/>
        </w:tabs>
        <w:kinsoku/>
        <w:wordWrap w:val="0"/>
        <w:overflowPunct/>
        <w:topLinePunct w:val="0"/>
        <w:autoSpaceDE w:val="0"/>
        <w:autoSpaceDN w:val="0"/>
        <w:bidi w:val="0"/>
        <w:adjustRightInd w:val="0"/>
        <w:snapToGrid w:val="0"/>
        <w:spacing w:after="0" w:line="240" w:lineRule="auto"/>
        <w:jc w:val="both"/>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电子投标文件递交</w:t>
      </w:r>
    </w:p>
    <w:p w14:paraId="42B4E777">
      <w:pPr>
        <w:keepNext w:val="0"/>
        <w:keepLines w:val="0"/>
        <w:pageBreakBefore w:val="0"/>
        <w:widowControl w:val="0"/>
        <w:tabs>
          <w:tab w:val="left" w:pos="709"/>
          <w:tab w:val="left" w:pos="993"/>
        </w:tabs>
        <w:kinsoku/>
        <w:wordWrap w:val="0"/>
        <w:overflowPunct/>
        <w:topLinePunct w:val="0"/>
        <w:autoSpaceDE w:val="0"/>
        <w:autoSpaceDN w:val="0"/>
        <w:bidi w:val="0"/>
        <w:adjustRightInd w:val="0"/>
        <w:snapToGrid w:val="0"/>
        <w:spacing w:after="0" w:line="240" w:lineRule="auto"/>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1、投标人应在投标截止时间前，将企业CA插入</w:t>
      </w:r>
      <w:r>
        <w:rPr>
          <w:rFonts w:ascii="宋体" w:hAnsi="宋体" w:cs="宋体"/>
          <w:color w:val="auto"/>
          <w:sz w:val="24"/>
          <w:szCs w:val="24"/>
          <w:highlight w:val="none"/>
        </w:rPr>
        <w:t>可联网的电脑，使用</w:t>
      </w:r>
      <w:r>
        <w:rPr>
          <w:rFonts w:hint="eastAsia" w:ascii="宋体" w:hAnsi="宋体" w:cs="宋体"/>
          <w:color w:val="auto"/>
          <w:sz w:val="24"/>
          <w:szCs w:val="24"/>
          <w:highlight w:val="none"/>
        </w:rPr>
        <w:t>微软E</w:t>
      </w:r>
      <w:r>
        <w:rPr>
          <w:rFonts w:ascii="宋体" w:hAnsi="宋体" w:cs="宋体"/>
          <w:color w:val="auto"/>
          <w:sz w:val="24"/>
          <w:szCs w:val="24"/>
          <w:highlight w:val="none"/>
        </w:rPr>
        <w:t>dge、</w:t>
      </w:r>
      <w:r>
        <w:rPr>
          <w:rFonts w:hint="eastAsia" w:ascii="宋体" w:hAnsi="宋体" w:cs="宋体"/>
          <w:color w:val="auto"/>
          <w:sz w:val="24"/>
          <w:szCs w:val="24"/>
          <w:highlight w:val="none"/>
        </w:rPr>
        <w:t>谷歌</w:t>
      </w:r>
      <w:r>
        <w:rPr>
          <w:rFonts w:ascii="宋体" w:hAnsi="宋体" w:cs="宋体"/>
          <w:color w:val="auto"/>
          <w:sz w:val="24"/>
          <w:szCs w:val="24"/>
          <w:highlight w:val="none"/>
        </w:rPr>
        <w:t>Chrome</w:t>
      </w:r>
      <w:r>
        <w:rPr>
          <w:rFonts w:hint="eastAsia" w:ascii="宋体" w:hAnsi="宋体" w:cs="宋体"/>
          <w:color w:val="auto"/>
          <w:sz w:val="24"/>
          <w:szCs w:val="24"/>
          <w:highlight w:val="none"/>
        </w:rPr>
        <w:t>、3</w:t>
      </w:r>
      <w:r>
        <w:rPr>
          <w:rFonts w:ascii="宋体" w:hAnsi="宋体" w:cs="宋体"/>
          <w:color w:val="auto"/>
          <w:sz w:val="24"/>
          <w:szCs w:val="24"/>
          <w:highlight w:val="none"/>
        </w:rPr>
        <w:t>60</w:t>
      </w:r>
      <w:r>
        <w:rPr>
          <w:rFonts w:hint="eastAsia" w:ascii="宋体" w:hAnsi="宋体" w:cs="宋体"/>
          <w:color w:val="auto"/>
          <w:sz w:val="24"/>
          <w:szCs w:val="24"/>
          <w:highlight w:val="none"/>
        </w:rPr>
        <w:t>、火狐</w:t>
      </w:r>
      <w:r>
        <w:rPr>
          <w:rFonts w:ascii="宋体" w:hAnsi="宋体" w:cs="宋体"/>
          <w:color w:val="auto"/>
          <w:sz w:val="24"/>
          <w:szCs w:val="24"/>
          <w:highlight w:val="none"/>
        </w:rPr>
        <w:t>Firefox</w:t>
      </w:r>
      <w:r>
        <w:rPr>
          <w:rFonts w:hint="eastAsia" w:ascii="宋体" w:hAnsi="宋体" w:cs="宋体"/>
          <w:color w:val="auto"/>
          <w:sz w:val="24"/>
          <w:szCs w:val="24"/>
          <w:highlight w:val="none"/>
        </w:rPr>
        <w:t>（不可用IE浏览器），登录投标人入口，选择所投项目标段，点击导航栏【网上投标（供应商）】，点击【递交报价文件】按钮上传已</w:t>
      </w:r>
      <w:r>
        <w:rPr>
          <w:rFonts w:ascii="宋体" w:hAnsi="宋体" w:cs="宋体"/>
          <w:color w:val="auto"/>
          <w:sz w:val="24"/>
          <w:szCs w:val="24"/>
          <w:highlight w:val="none"/>
        </w:rPr>
        <w:t>加密的</w:t>
      </w:r>
      <w:r>
        <w:rPr>
          <w:rFonts w:hint="eastAsia" w:ascii="宋体" w:hAnsi="宋体" w:cs="宋体"/>
          <w:color w:val="auto"/>
          <w:sz w:val="24"/>
          <w:szCs w:val="24"/>
          <w:highlight w:val="none"/>
        </w:rPr>
        <w:t>电子投标文件（后缀名为</w:t>
      </w:r>
      <w:r>
        <w:rPr>
          <w:rFonts w:hint="eastAsia" w:ascii="宋体" w:hAnsi="宋体"/>
          <w:color w:val="auto"/>
          <w:sz w:val="24"/>
          <w:szCs w:val="24"/>
          <w:highlight w:val="none"/>
        </w:rPr>
        <w:t>TBJ</w:t>
      </w:r>
      <w:r>
        <w:rPr>
          <w:rFonts w:ascii="宋体" w:hAnsi="宋体" w:cs="宋体"/>
          <w:color w:val="auto"/>
          <w:sz w:val="24"/>
          <w:szCs w:val="24"/>
          <w:highlight w:val="none"/>
        </w:rPr>
        <w:t>）</w:t>
      </w:r>
      <w:r>
        <w:rPr>
          <w:rFonts w:hint="eastAsia" w:ascii="宋体" w:hAnsi="宋体" w:cs="宋体"/>
          <w:color w:val="auto"/>
          <w:sz w:val="24"/>
          <w:szCs w:val="24"/>
          <w:highlight w:val="none"/>
        </w:rPr>
        <w:t>。</w:t>
      </w:r>
    </w:p>
    <w:p w14:paraId="312091D4">
      <w:pPr>
        <w:keepNext w:val="0"/>
        <w:keepLines w:val="0"/>
        <w:pageBreakBefore w:val="0"/>
        <w:widowControl w:val="0"/>
        <w:tabs>
          <w:tab w:val="left" w:pos="709"/>
          <w:tab w:val="left" w:pos="993"/>
        </w:tabs>
        <w:kinsoku/>
        <w:wordWrap w:val="0"/>
        <w:overflowPunct/>
        <w:topLinePunct w:val="0"/>
        <w:autoSpaceDE w:val="0"/>
        <w:autoSpaceDN w:val="0"/>
        <w:bidi w:val="0"/>
        <w:adjustRightInd w:val="0"/>
        <w:snapToGrid w:val="0"/>
        <w:spacing w:after="0" w:line="240" w:lineRule="auto"/>
        <w:ind w:firstLine="420"/>
        <w:textAlignment w:val="auto"/>
        <w:rPr>
          <w:rFonts w:ascii="宋体" w:hAnsi="宋体" w:cs="宋体"/>
          <w:b/>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、如</w:t>
      </w:r>
      <w:r>
        <w:rPr>
          <w:rFonts w:ascii="宋体" w:hAnsi="宋体" w:cs="宋体"/>
          <w:color w:val="auto"/>
          <w:sz w:val="24"/>
          <w:szCs w:val="24"/>
          <w:highlight w:val="none"/>
        </w:rPr>
        <w:t>同时</w:t>
      </w:r>
      <w:r>
        <w:rPr>
          <w:rFonts w:hint="eastAsia" w:ascii="宋体" w:hAnsi="宋体" w:cs="宋体"/>
          <w:color w:val="auto"/>
          <w:sz w:val="24"/>
          <w:szCs w:val="24"/>
          <w:highlight w:val="none"/>
        </w:rPr>
        <w:t>上传</w:t>
      </w:r>
      <w:r>
        <w:rPr>
          <w:rFonts w:ascii="宋体" w:hAnsi="宋体" w:cs="宋体"/>
          <w:color w:val="auto"/>
          <w:sz w:val="24"/>
          <w:szCs w:val="24"/>
          <w:highlight w:val="none"/>
        </w:rPr>
        <w:t>多个项目或同一项目多个</w:t>
      </w:r>
      <w:r>
        <w:rPr>
          <w:rFonts w:hint="eastAsia" w:ascii="宋体" w:hAnsi="宋体" w:cs="宋体"/>
          <w:color w:val="auto"/>
          <w:sz w:val="24"/>
          <w:szCs w:val="24"/>
          <w:highlight w:val="none"/>
        </w:rPr>
        <w:t>标段的</w:t>
      </w:r>
      <w:r>
        <w:rPr>
          <w:rFonts w:ascii="宋体" w:hAnsi="宋体" w:cs="宋体"/>
          <w:color w:val="auto"/>
          <w:sz w:val="24"/>
          <w:szCs w:val="24"/>
          <w:highlight w:val="none"/>
        </w:rPr>
        <w:t>投标文件，应注意不要</w:t>
      </w:r>
      <w:r>
        <w:rPr>
          <w:rFonts w:hint="eastAsia" w:ascii="宋体" w:hAnsi="宋体" w:cs="宋体"/>
          <w:color w:val="auto"/>
          <w:sz w:val="24"/>
          <w:szCs w:val="24"/>
          <w:highlight w:val="none"/>
        </w:rPr>
        <w:t>相互</w:t>
      </w:r>
      <w:r>
        <w:rPr>
          <w:rFonts w:ascii="宋体" w:hAnsi="宋体" w:cs="宋体"/>
          <w:color w:val="auto"/>
          <w:sz w:val="24"/>
          <w:szCs w:val="24"/>
          <w:highlight w:val="none"/>
        </w:rPr>
        <w:t>混淆</w:t>
      </w:r>
      <w:r>
        <w:rPr>
          <w:rFonts w:hint="eastAsia" w:ascii="宋体" w:hAnsi="宋体" w:cs="宋体"/>
          <w:color w:val="auto"/>
          <w:sz w:val="24"/>
          <w:szCs w:val="24"/>
          <w:highlight w:val="none"/>
        </w:rPr>
        <w:t>。</w:t>
      </w:r>
    </w:p>
    <w:p w14:paraId="49874470">
      <w:pPr>
        <w:keepNext w:val="0"/>
        <w:keepLines w:val="0"/>
        <w:pageBreakBefore w:val="0"/>
        <w:widowControl w:val="0"/>
        <w:numPr>
          <w:ilvl w:val="0"/>
          <w:numId w:val="1"/>
        </w:numPr>
        <w:tabs>
          <w:tab w:val="left" w:pos="426"/>
        </w:tabs>
        <w:kinsoku/>
        <w:wordWrap w:val="0"/>
        <w:overflowPunct/>
        <w:topLinePunct w:val="0"/>
        <w:autoSpaceDE w:val="0"/>
        <w:autoSpaceDN w:val="0"/>
        <w:bidi w:val="0"/>
        <w:adjustRightInd w:val="0"/>
        <w:snapToGrid w:val="0"/>
        <w:spacing w:after="0" w:line="240" w:lineRule="auto"/>
        <w:jc w:val="both"/>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电子投标文件解密</w:t>
      </w:r>
    </w:p>
    <w:p w14:paraId="65594F08">
      <w:pPr>
        <w:keepNext w:val="0"/>
        <w:keepLines w:val="0"/>
        <w:pageBreakBefore w:val="0"/>
        <w:widowControl w:val="0"/>
        <w:tabs>
          <w:tab w:val="left" w:pos="709"/>
          <w:tab w:val="left" w:pos="993"/>
        </w:tabs>
        <w:kinsoku/>
        <w:wordWrap w:val="0"/>
        <w:overflowPunct/>
        <w:topLinePunct w:val="0"/>
        <w:autoSpaceDE w:val="0"/>
        <w:autoSpaceDN w:val="0"/>
        <w:bidi w:val="0"/>
        <w:adjustRightInd w:val="0"/>
        <w:snapToGrid w:val="0"/>
        <w:spacing w:after="0" w:line="240" w:lineRule="auto"/>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1、建议投标人至少</w:t>
      </w:r>
      <w:r>
        <w:rPr>
          <w:rFonts w:ascii="宋体" w:hAnsi="宋体" w:cs="宋体"/>
          <w:color w:val="auto"/>
          <w:sz w:val="24"/>
          <w:szCs w:val="24"/>
          <w:highlight w:val="none"/>
        </w:rPr>
        <w:t>在投标截止时间</w:t>
      </w:r>
      <w:r>
        <w:rPr>
          <w:rFonts w:hint="eastAsia" w:ascii="宋体" w:hAnsi="宋体" w:cs="宋体"/>
          <w:color w:val="auto"/>
          <w:sz w:val="24"/>
          <w:szCs w:val="24"/>
          <w:highlight w:val="none"/>
        </w:rPr>
        <w:t>1小时</w:t>
      </w:r>
      <w:r>
        <w:rPr>
          <w:rFonts w:ascii="宋体" w:hAnsi="宋体" w:cs="宋体"/>
          <w:color w:val="auto"/>
          <w:sz w:val="24"/>
          <w:szCs w:val="24"/>
          <w:highlight w:val="none"/>
        </w:rPr>
        <w:t>前，</w:t>
      </w:r>
      <w:r>
        <w:rPr>
          <w:rFonts w:hint="eastAsia" w:ascii="宋体" w:hAnsi="宋体" w:cs="宋体"/>
          <w:color w:val="auto"/>
          <w:sz w:val="24"/>
          <w:szCs w:val="24"/>
          <w:highlight w:val="none"/>
        </w:rPr>
        <w:t>将企业CA插入</w:t>
      </w:r>
      <w:r>
        <w:rPr>
          <w:rFonts w:ascii="宋体" w:hAnsi="宋体" w:cs="宋体"/>
          <w:color w:val="auto"/>
          <w:sz w:val="24"/>
          <w:szCs w:val="24"/>
          <w:highlight w:val="none"/>
        </w:rPr>
        <w:t>可联网的电脑，</w:t>
      </w:r>
      <w:r>
        <w:rPr>
          <w:rFonts w:hint="eastAsia" w:ascii="宋体" w:hAnsi="宋体" w:cs="宋体"/>
          <w:color w:val="auto"/>
          <w:sz w:val="24"/>
          <w:szCs w:val="24"/>
          <w:highlight w:val="none"/>
        </w:rPr>
        <w:t>检查电脑工作</w:t>
      </w:r>
      <w:r>
        <w:rPr>
          <w:rFonts w:ascii="宋体" w:hAnsi="宋体" w:cs="宋体"/>
          <w:color w:val="auto"/>
          <w:sz w:val="24"/>
          <w:szCs w:val="24"/>
          <w:highlight w:val="none"/>
        </w:rPr>
        <w:t>环境</w:t>
      </w:r>
      <w:r>
        <w:rPr>
          <w:rFonts w:hint="eastAsia" w:ascii="宋体" w:hAnsi="宋体" w:cs="宋体"/>
          <w:color w:val="auto"/>
          <w:sz w:val="24"/>
          <w:szCs w:val="24"/>
          <w:highlight w:val="none"/>
        </w:rPr>
        <w:t>是否</w:t>
      </w:r>
      <w:r>
        <w:rPr>
          <w:rFonts w:ascii="宋体" w:hAnsi="宋体" w:cs="宋体"/>
          <w:color w:val="auto"/>
          <w:sz w:val="24"/>
          <w:szCs w:val="24"/>
          <w:highlight w:val="none"/>
        </w:rPr>
        <w:t>正常，如有问题应及时联系平台技术支持</w:t>
      </w:r>
      <w:r>
        <w:rPr>
          <w:rFonts w:hint="eastAsia" w:ascii="宋体" w:hAnsi="宋体" w:cs="宋体"/>
          <w:color w:val="auto"/>
          <w:sz w:val="24"/>
          <w:szCs w:val="24"/>
          <w:highlight w:val="none"/>
        </w:rPr>
        <w:t>。</w:t>
      </w:r>
    </w:p>
    <w:p w14:paraId="2E39D7A6">
      <w:pPr>
        <w:keepNext w:val="0"/>
        <w:keepLines w:val="0"/>
        <w:pageBreakBefore w:val="0"/>
        <w:widowControl w:val="0"/>
        <w:tabs>
          <w:tab w:val="left" w:pos="709"/>
          <w:tab w:val="left" w:pos="993"/>
        </w:tabs>
        <w:kinsoku/>
        <w:wordWrap w:val="0"/>
        <w:overflowPunct/>
        <w:topLinePunct w:val="0"/>
        <w:autoSpaceDE w:val="0"/>
        <w:autoSpaceDN w:val="0"/>
        <w:bidi w:val="0"/>
        <w:adjustRightInd w:val="0"/>
        <w:snapToGrid w:val="0"/>
        <w:spacing w:after="0" w:line="240" w:lineRule="auto"/>
        <w:ind w:firstLine="420"/>
        <w:textAlignment w:val="auto"/>
        <w:rPr>
          <w:rFonts w:ascii="宋体" w:hAns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、投标人应</w:t>
      </w:r>
      <w:r>
        <w:rPr>
          <w:rFonts w:ascii="宋体" w:hAnsi="宋体" w:cs="宋体"/>
          <w:color w:val="auto"/>
          <w:sz w:val="24"/>
          <w:szCs w:val="24"/>
          <w:highlight w:val="none"/>
        </w:rPr>
        <w:t>在投标截止时间</w:t>
      </w:r>
      <w:r>
        <w:rPr>
          <w:rFonts w:hint="eastAsia" w:ascii="宋体" w:hAnsi="宋体" w:cs="宋体"/>
          <w:color w:val="auto"/>
          <w:sz w:val="24"/>
          <w:szCs w:val="24"/>
          <w:highlight w:val="none"/>
        </w:rPr>
        <w:t>前</w:t>
      </w:r>
      <w:r>
        <w:rPr>
          <w:rFonts w:ascii="宋体" w:hAnsi="宋体" w:cs="宋体"/>
          <w:color w:val="auto"/>
          <w:sz w:val="24"/>
          <w:szCs w:val="24"/>
          <w:highlight w:val="none"/>
        </w:rPr>
        <w:t>，</w:t>
      </w:r>
      <w:r>
        <w:rPr>
          <w:rFonts w:hint="eastAsia" w:ascii="宋体" w:hAnsi="宋体" w:cs="宋体"/>
          <w:color w:val="auto"/>
          <w:sz w:val="24"/>
          <w:szCs w:val="24"/>
          <w:highlight w:val="none"/>
        </w:rPr>
        <w:t>登录</w:t>
      </w:r>
      <w:r>
        <w:rPr>
          <w:rFonts w:ascii="宋体" w:hAnsi="宋体" w:cs="宋体"/>
          <w:color w:val="auto"/>
          <w:sz w:val="24"/>
          <w:szCs w:val="24"/>
          <w:highlight w:val="none"/>
        </w:rPr>
        <w:t>投标人入口，进入</w:t>
      </w:r>
      <w:r>
        <w:rPr>
          <w:rFonts w:hint="eastAsia" w:ascii="宋体" w:hAnsi="宋体" w:cs="宋体"/>
          <w:color w:val="auto"/>
          <w:sz w:val="24"/>
          <w:szCs w:val="24"/>
          <w:highlight w:val="none"/>
        </w:rPr>
        <w:t>所投项目</w:t>
      </w:r>
      <w:r>
        <w:rPr>
          <w:rFonts w:ascii="宋体" w:hAnsi="宋体" w:cs="宋体"/>
          <w:color w:val="auto"/>
          <w:sz w:val="24"/>
          <w:szCs w:val="24"/>
          <w:highlight w:val="none"/>
        </w:rPr>
        <w:t>标段</w:t>
      </w:r>
      <w:r>
        <w:rPr>
          <w:rFonts w:hint="eastAsia" w:ascii="宋体" w:hAnsi="宋体" w:cs="宋体"/>
          <w:color w:val="auto"/>
          <w:sz w:val="24"/>
          <w:szCs w:val="24"/>
          <w:highlight w:val="none"/>
        </w:rPr>
        <w:t>，点击页面导航栏中的【开</w:t>
      </w:r>
      <w:r>
        <w:rPr>
          <w:rFonts w:hint="eastAsia" w:ascii="宋体" w:hAnsi="宋体"/>
          <w:color w:val="auto"/>
          <w:sz w:val="24"/>
          <w:szCs w:val="24"/>
          <w:highlight w:val="none"/>
        </w:rPr>
        <w:t>标（供应商）】-【进入开标会】进行签到。待平台</w:t>
      </w:r>
      <w:r>
        <w:rPr>
          <w:rFonts w:ascii="宋体" w:hAnsi="宋体"/>
          <w:color w:val="auto"/>
          <w:sz w:val="24"/>
          <w:szCs w:val="24"/>
          <w:highlight w:val="none"/>
        </w:rPr>
        <w:t>下达</w:t>
      </w:r>
      <w:r>
        <w:rPr>
          <w:rFonts w:hint="eastAsia" w:ascii="宋体" w:hAnsi="宋体"/>
          <w:color w:val="auto"/>
          <w:sz w:val="24"/>
          <w:szCs w:val="24"/>
          <w:highlight w:val="none"/>
        </w:rPr>
        <w:t>解密</w:t>
      </w:r>
      <w:r>
        <w:rPr>
          <w:rFonts w:ascii="宋体" w:hAnsi="宋体"/>
          <w:color w:val="auto"/>
          <w:sz w:val="24"/>
          <w:szCs w:val="24"/>
          <w:highlight w:val="none"/>
        </w:rPr>
        <w:t>指令后，</w:t>
      </w:r>
      <w:r>
        <w:rPr>
          <w:rFonts w:hint="eastAsia" w:ascii="宋体" w:hAnsi="宋体"/>
          <w:color w:val="auto"/>
          <w:sz w:val="24"/>
          <w:szCs w:val="24"/>
          <w:highlight w:val="none"/>
        </w:rPr>
        <w:t>点击“TBJ解密</w:t>
      </w:r>
      <w:r>
        <w:rPr>
          <w:rFonts w:ascii="宋体" w:hAnsi="宋体"/>
          <w:color w:val="auto"/>
          <w:sz w:val="24"/>
          <w:szCs w:val="24"/>
          <w:highlight w:val="none"/>
        </w:rPr>
        <w:t>”</w:t>
      </w:r>
      <w:r>
        <w:rPr>
          <w:rFonts w:hint="eastAsia" w:ascii="宋体" w:hAnsi="宋体"/>
          <w:color w:val="auto"/>
          <w:sz w:val="24"/>
          <w:szCs w:val="24"/>
          <w:highlight w:val="none"/>
        </w:rPr>
        <w:t>按钮，按系统</w:t>
      </w:r>
      <w:r>
        <w:rPr>
          <w:rFonts w:ascii="宋体" w:hAnsi="宋体"/>
          <w:color w:val="auto"/>
          <w:sz w:val="24"/>
          <w:szCs w:val="24"/>
          <w:highlight w:val="none"/>
        </w:rPr>
        <w:t>提示</w:t>
      </w:r>
      <w:r>
        <w:rPr>
          <w:rFonts w:hint="eastAsia" w:ascii="宋体" w:hAnsi="宋体"/>
          <w:color w:val="auto"/>
          <w:sz w:val="24"/>
          <w:szCs w:val="24"/>
          <w:highlight w:val="none"/>
        </w:rPr>
        <w:t>进行解密操作</w:t>
      </w:r>
      <w:r>
        <w:rPr>
          <w:rFonts w:ascii="宋体" w:hAnsi="宋体"/>
          <w:color w:val="auto"/>
          <w:sz w:val="24"/>
          <w:szCs w:val="24"/>
          <w:highlight w:val="none"/>
        </w:rPr>
        <w:t>。</w:t>
      </w:r>
      <w:r>
        <w:rPr>
          <w:rFonts w:hint="eastAsia" w:ascii="宋体" w:hAnsi="宋体"/>
          <w:color w:val="auto"/>
          <w:sz w:val="24"/>
          <w:szCs w:val="24"/>
          <w:highlight w:val="none"/>
        </w:rPr>
        <w:t>投标人</w:t>
      </w:r>
      <w:r>
        <w:rPr>
          <w:rFonts w:ascii="宋体" w:hAnsi="宋体"/>
          <w:color w:val="auto"/>
          <w:sz w:val="24"/>
          <w:szCs w:val="24"/>
          <w:highlight w:val="none"/>
        </w:rPr>
        <w:t>可</w:t>
      </w:r>
      <w:r>
        <w:rPr>
          <w:rFonts w:hint="eastAsia" w:ascii="宋体" w:hAnsi="宋体"/>
          <w:color w:val="auto"/>
          <w:sz w:val="24"/>
          <w:szCs w:val="24"/>
          <w:highlight w:val="none"/>
        </w:rPr>
        <w:t>选择CA解密或解密符解密，使用CA解密时需要插入企业CA输入pin码；使用解密符则需上传生成加密投标文件时对应生成的Bs</w:t>
      </w:r>
      <w:r>
        <w:rPr>
          <w:rFonts w:ascii="宋体" w:hAnsi="宋体"/>
          <w:color w:val="auto"/>
          <w:sz w:val="24"/>
          <w:szCs w:val="24"/>
          <w:highlight w:val="none"/>
        </w:rPr>
        <w:t>key</w:t>
      </w:r>
      <w:r>
        <w:rPr>
          <w:rFonts w:hint="eastAsia" w:ascii="宋体" w:hAnsi="宋体"/>
          <w:color w:val="auto"/>
          <w:sz w:val="24"/>
          <w:szCs w:val="24"/>
          <w:highlight w:val="none"/>
        </w:rPr>
        <w:t>文件。</w:t>
      </w:r>
    </w:p>
    <w:p w14:paraId="7C12CACD">
      <w:pPr>
        <w:keepNext w:val="0"/>
        <w:keepLines w:val="0"/>
        <w:pageBreakBefore w:val="0"/>
        <w:widowControl w:val="0"/>
        <w:tabs>
          <w:tab w:val="left" w:pos="709"/>
          <w:tab w:val="left" w:pos="993"/>
        </w:tabs>
        <w:kinsoku/>
        <w:wordWrap w:val="0"/>
        <w:overflowPunct/>
        <w:topLinePunct w:val="0"/>
        <w:autoSpaceDE w:val="0"/>
        <w:autoSpaceDN w:val="0"/>
        <w:bidi w:val="0"/>
        <w:adjustRightInd w:val="0"/>
        <w:snapToGrid w:val="0"/>
        <w:spacing w:after="0" w:line="240" w:lineRule="auto"/>
        <w:ind w:firstLine="420"/>
        <w:textAlignment w:val="auto"/>
        <w:rPr>
          <w:rFonts w:ascii="宋体" w:hAnsi="宋体"/>
          <w:color w:val="auto"/>
          <w:sz w:val="24"/>
          <w:szCs w:val="24"/>
          <w:highlight w:val="none"/>
        </w:rPr>
      </w:pPr>
      <w:r>
        <w:rPr>
          <w:rFonts w:hint="eastAsia" w:ascii="宋体" w:hAnsi="宋体" w:cs="宋体"/>
          <w:color w:val="auto"/>
          <w:sz w:val="24"/>
          <w:szCs w:val="24"/>
          <w:highlight w:val="none"/>
        </w:rPr>
        <w:t>3、对于</w:t>
      </w:r>
      <w:r>
        <w:rPr>
          <w:rFonts w:ascii="宋体" w:hAnsi="宋体" w:cs="宋体"/>
          <w:color w:val="auto"/>
          <w:sz w:val="24"/>
          <w:szCs w:val="24"/>
          <w:highlight w:val="none"/>
        </w:rPr>
        <w:t>磋商、谈判、单一来源等</w:t>
      </w:r>
      <w:r>
        <w:rPr>
          <w:rFonts w:hint="eastAsia" w:ascii="宋体" w:hAnsi="宋体" w:cs="宋体"/>
          <w:color w:val="auto"/>
          <w:sz w:val="24"/>
          <w:szCs w:val="24"/>
          <w:highlight w:val="none"/>
        </w:rPr>
        <w:t>需</w:t>
      </w:r>
      <w:r>
        <w:rPr>
          <w:rFonts w:ascii="宋体" w:hAnsi="宋体" w:cs="宋体"/>
          <w:color w:val="auto"/>
          <w:sz w:val="24"/>
          <w:szCs w:val="24"/>
          <w:highlight w:val="none"/>
        </w:rPr>
        <w:t>进行多轮报价的项目，投标人在解密后应保持在线，</w:t>
      </w:r>
      <w:r>
        <w:rPr>
          <w:rFonts w:hint="eastAsia" w:ascii="宋体" w:hAnsi="宋体" w:cs="宋体"/>
          <w:color w:val="auto"/>
          <w:sz w:val="24"/>
          <w:szCs w:val="24"/>
          <w:highlight w:val="none"/>
        </w:rPr>
        <w:t>以便</w:t>
      </w:r>
      <w:r>
        <w:rPr>
          <w:rFonts w:ascii="宋体" w:hAnsi="宋体" w:cs="宋体"/>
          <w:color w:val="auto"/>
          <w:sz w:val="24"/>
          <w:szCs w:val="24"/>
          <w:highlight w:val="none"/>
        </w:rPr>
        <w:t>及时参与评委</w:t>
      </w:r>
      <w:r>
        <w:rPr>
          <w:rFonts w:hint="eastAsia" w:ascii="宋体" w:hAnsi="宋体" w:cs="宋体"/>
          <w:color w:val="auto"/>
          <w:sz w:val="24"/>
          <w:szCs w:val="24"/>
          <w:highlight w:val="none"/>
        </w:rPr>
        <w:t>发起</w:t>
      </w:r>
      <w:r>
        <w:rPr>
          <w:rFonts w:ascii="宋体" w:hAnsi="宋体" w:cs="宋体"/>
          <w:color w:val="auto"/>
          <w:sz w:val="24"/>
          <w:szCs w:val="24"/>
          <w:highlight w:val="none"/>
        </w:rPr>
        <w:t>的二轮或多轮</w:t>
      </w:r>
      <w:r>
        <w:rPr>
          <w:rFonts w:hint="eastAsia" w:ascii="宋体" w:hAnsi="宋体" w:cs="宋体"/>
          <w:color w:val="auto"/>
          <w:sz w:val="24"/>
          <w:szCs w:val="24"/>
          <w:highlight w:val="none"/>
        </w:rPr>
        <w:t>洽谈</w:t>
      </w:r>
      <w:r>
        <w:rPr>
          <w:rFonts w:ascii="宋体" w:hAnsi="宋体" w:cs="宋体"/>
          <w:color w:val="auto"/>
          <w:sz w:val="24"/>
          <w:szCs w:val="24"/>
          <w:highlight w:val="none"/>
        </w:rPr>
        <w:t>及报价。</w:t>
      </w:r>
    </w:p>
    <w:p w14:paraId="77FB0FF5">
      <w:pPr>
        <w:keepNext w:val="0"/>
        <w:keepLines w:val="0"/>
        <w:pageBreakBefore w:val="0"/>
        <w:widowControl w:val="0"/>
        <w:numPr>
          <w:ilvl w:val="0"/>
          <w:numId w:val="1"/>
        </w:numPr>
        <w:tabs>
          <w:tab w:val="left" w:pos="426"/>
        </w:tabs>
        <w:kinsoku/>
        <w:wordWrap w:val="0"/>
        <w:overflowPunct/>
        <w:topLinePunct w:val="0"/>
        <w:autoSpaceDE w:val="0"/>
        <w:autoSpaceDN w:val="0"/>
        <w:bidi w:val="0"/>
        <w:adjustRightInd w:val="0"/>
        <w:snapToGrid w:val="0"/>
        <w:spacing w:after="0" w:line="240" w:lineRule="auto"/>
        <w:jc w:val="both"/>
        <w:textAlignment w:val="auto"/>
        <w:rPr>
          <w:rFonts w:ascii="宋体" w:hAnsi="宋体" w:cs="宋体"/>
          <w:b/>
          <w:color w:val="auto"/>
          <w:sz w:val="24"/>
          <w:szCs w:val="24"/>
          <w:highlight w:val="none"/>
        </w:rPr>
      </w:pPr>
      <w:bookmarkStart w:id="24" w:name="_Toc49188169"/>
      <w:r>
        <w:rPr>
          <w:rFonts w:hint="eastAsia" w:ascii="宋体" w:hAnsi="宋体" w:cs="宋体"/>
          <w:b/>
          <w:color w:val="auto"/>
          <w:sz w:val="24"/>
          <w:szCs w:val="24"/>
          <w:highlight w:val="none"/>
        </w:rPr>
        <w:t>重要提示</w:t>
      </w:r>
      <w:bookmarkEnd w:id="24"/>
    </w:p>
    <w:p w14:paraId="75A02303">
      <w:pPr>
        <w:keepNext w:val="0"/>
        <w:keepLines w:val="0"/>
        <w:pageBreakBefore w:val="0"/>
        <w:widowControl w:val="0"/>
        <w:tabs>
          <w:tab w:val="left" w:pos="709"/>
          <w:tab w:val="left" w:pos="993"/>
        </w:tabs>
        <w:kinsoku/>
        <w:wordWrap w:val="0"/>
        <w:overflowPunct/>
        <w:topLinePunct w:val="0"/>
        <w:autoSpaceDE w:val="0"/>
        <w:autoSpaceDN w:val="0"/>
        <w:bidi w:val="0"/>
        <w:adjustRightInd w:val="0"/>
        <w:snapToGrid w:val="0"/>
        <w:spacing w:after="0" w:line="240" w:lineRule="auto"/>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1、编制</w:t>
      </w:r>
      <w:r>
        <w:rPr>
          <w:rFonts w:ascii="宋体" w:hAnsi="宋体" w:cs="宋体"/>
          <w:color w:val="auto"/>
          <w:sz w:val="24"/>
          <w:szCs w:val="24"/>
          <w:highlight w:val="none"/>
        </w:rPr>
        <w:t>及上传、解密</w:t>
      </w:r>
      <w:r>
        <w:rPr>
          <w:rFonts w:hint="eastAsia" w:ascii="宋体" w:hAnsi="宋体" w:cs="宋体"/>
          <w:color w:val="auto"/>
          <w:sz w:val="24"/>
          <w:szCs w:val="24"/>
          <w:highlight w:val="none"/>
        </w:rPr>
        <w:t>投标文件均</w:t>
      </w:r>
      <w:r>
        <w:rPr>
          <w:rFonts w:ascii="宋体" w:hAnsi="宋体" w:cs="宋体"/>
          <w:color w:val="auto"/>
          <w:sz w:val="24"/>
          <w:szCs w:val="24"/>
          <w:highlight w:val="none"/>
        </w:rPr>
        <w:t>需要使用</w:t>
      </w:r>
      <w:r>
        <w:rPr>
          <w:rFonts w:hint="eastAsia" w:ascii="宋体" w:hAnsi="宋体" w:cs="宋体"/>
          <w:color w:val="auto"/>
          <w:sz w:val="24"/>
          <w:szCs w:val="24"/>
          <w:highlight w:val="none"/>
        </w:rPr>
        <w:t>CA，</w:t>
      </w:r>
      <w:r>
        <w:rPr>
          <w:rFonts w:ascii="宋体" w:hAnsi="宋体" w:cs="宋体"/>
          <w:color w:val="auto"/>
          <w:sz w:val="24"/>
          <w:szCs w:val="24"/>
          <w:highlight w:val="none"/>
        </w:rPr>
        <w:t>使用</w:t>
      </w:r>
      <w:r>
        <w:rPr>
          <w:rFonts w:hint="eastAsia" w:ascii="宋体" w:hAnsi="宋体" w:cs="宋体"/>
          <w:color w:val="auto"/>
          <w:sz w:val="24"/>
          <w:szCs w:val="24"/>
          <w:highlight w:val="none"/>
        </w:rPr>
        <w:t>C</w:t>
      </w:r>
      <w:r>
        <w:rPr>
          <w:rFonts w:ascii="宋体" w:hAnsi="宋体" w:cs="宋体"/>
          <w:color w:val="auto"/>
          <w:sz w:val="24"/>
          <w:szCs w:val="24"/>
          <w:highlight w:val="none"/>
        </w:rPr>
        <w:t>A</w:t>
      </w:r>
      <w:r>
        <w:rPr>
          <w:rFonts w:hint="eastAsia" w:ascii="宋体" w:hAnsi="宋体" w:cs="宋体"/>
          <w:color w:val="auto"/>
          <w:sz w:val="24"/>
          <w:szCs w:val="24"/>
          <w:highlight w:val="none"/>
        </w:rPr>
        <w:t>必须先</w:t>
      </w:r>
      <w:r>
        <w:rPr>
          <w:rFonts w:ascii="宋体" w:hAnsi="宋体" w:cs="宋体"/>
          <w:color w:val="auto"/>
          <w:sz w:val="24"/>
          <w:szCs w:val="24"/>
          <w:highlight w:val="none"/>
        </w:rPr>
        <w:t>在电脑正确安装</w:t>
      </w:r>
      <w:r>
        <w:rPr>
          <w:rFonts w:hint="eastAsia" w:ascii="宋体" w:hAnsi="宋体" w:cs="宋体"/>
          <w:color w:val="auto"/>
          <w:sz w:val="24"/>
          <w:szCs w:val="24"/>
          <w:highlight w:val="none"/>
        </w:rPr>
        <w:t>“数字签名服务驱动”</w:t>
      </w:r>
      <w:r>
        <w:rPr>
          <w:rFonts w:ascii="宋体" w:hAnsi="宋体" w:cs="宋体"/>
          <w:color w:val="auto"/>
          <w:sz w:val="24"/>
          <w:szCs w:val="24"/>
          <w:highlight w:val="none"/>
        </w:rPr>
        <w:t>。</w:t>
      </w:r>
      <w:r>
        <w:rPr>
          <w:rFonts w:hint="eastAsia" w:ascii="宋体" w:hAnsi="宋体" w:cs="宋体"/>
          <w:b/>
          <w:color w:val="auto"/>
          <w:sz w:val="24"/>
          <w:szCs w:val="24"/>
          <w:highlight w:val="none"/>
        </w:rPr>
        <w:t>如</w:t>
      </w:r>
      <w:r>
        <w:rPr>
          <w:rFonts w:ascii="宋体" w:hAnsi="宋体" w:cs="宋体"/>
          <w:b/>
          <w:color w:val="auto"/>
          <w:sz w:val="24"/>
          <w:szCs w:val="24"/>
          <w:highlight w:val="none"/>
        </w:rPr>
        <w:t>解密</w:t>
      </w:r>
      <w:r>
        <w:rPr>
          <w:rFonts w:hint="eastAsia" w:ascii="宋体" w:hAnsi="宋体" w:cs="宋体"/>
          <w:b/>
          <w:color w:val="auto"/>
          <w:sz w:val="24"/>
          <w:szCs w:val="24"/>
          <w:highlight w:val="none"/>
        </w:rPr>
        <w:t>电脑</w:t>
      </w:r>
      <w:r>
        <w:rPr>
          <w:rFonts w:ascii="宋体" w:hAnsi="宋体" w:cs="宋体"/>
          <w:b/>
          <w:color w:val="auto"/>
          <w:sz w:val="24"/>
          <w:szCs w:val="24"/>
          <w:highlight w:val="none"/>
        </w:rPr>
        <w:t>与制作标书电脑不是同</w:t>
      </w:r>
      <w:r>
        <w:rPr>
          <w:rFonts w:hint="eastAsia" w:ascii="宋体" w:hAnsi="宋体" w:cs="宋体"/>
          <w:b/>
          <w:color w:val="auto"/>
          <w:sz w:val="24"/>
          <w:szCs w:val="24"/>
          <w:highlight w:val="none"/>
        </w:rPr>
        <w:t>一台</w:t>
      </w:r>
      <w:r>
        <w:rPr>
          <w:rFonts w:ascii="宋体" w:hAnsi="宋体" w:cs="宋体"/>
          <w:b/>
          <w:color w:val="auto"/>
          <w:sz w:val="24"/>
          <w:szCs w:val="24"/>
          <w:highlight w:val="none"/>
        </w:rPr>
        <w:t>，应提前检查</w:t>
      </w:r>
      <w:r>
        <w:rPr>
          <w:rFonts w:hint="eastAsia" w:ascii="宋体" w:hAnsi="宋体" w:cs="宋体"/>
          <w:b/>
          <w:color w:val="auto"/>
          <w:sz w:val="24"/>
          <w:szCs w:val="24"/>
          <w:highlight w:val="none"/>
        </w:rPr>
        <w:t>解密</w:t>
      </w:r>
      <w:r>
        <w:rPr>
          <w:rFonts w:ascii="宋体" w:hAnsi="宋体" w:cs="宋体"/>
          <w:b/>
          <w:color w:val="auto"/>
          <w:sz w:val="24"/>
          <w:szCs w:val="24"/>
          <w:highlight w:val="none"/>
        </w:rPr>
        <w:t>电脑是否安装了</w:t>
      </w:r>
      <w:r>
        <w:rPr>
          <w:rFonts w:hint="eastAsia" w:ascii="宋体" w:hAnsi="宋体" w:cs="宋体"/>
          <w:b/>
          <w:color w:val="auto"/>
          <w:sz w:val="24"/>
          <w:szCs w:val="24"/>
          <w:highlight w:val="none"/>
        </w:rPr>
        <w:t>数字签名服务驱动</w:t>
      </w:r>
      <w:r>
        <w:rPr>
          <w:rFonts w:ascii="宋体" w:hAnsi="宋体" w:cs="宋体"/>
          <w:b/>
          <w:color w:val="auto"/>
          <w:sz w:val="24"/>
          <w:szCs w:val="24"/>
          <w:highlight w:val="none"/>
        </w:rPr>
        <w:t>！</w:t>
      </w:r>
    </w:p>
    <w:p w14:paraId="1B6C116B">
      <w:pPr>
        <w:keepNext w:val="0"/>
        <w:keepLines w:val="0"/>
        <w:pageBreakBefore w:val="0"/>
        <w:widowControl w:val="0"/>
        <w:tabs>
          <w:tab w:val="left" w:pos="709"/>
          <w:tab w:val="left" w:pos="993"/>
        </w:tabs>
        <w:kinsoku/>
        <w:wordWrap w:val="0"/>
        <w:overflowPunct/>
        <w:topLinePunct w:val="0"/>
        <w:autoSpaceDE w:val="0"/>
        <w:autoSpaceDN w:val="0"/>
        <w:bidi w:val="0"/>
        <w:adjustRightInd w:val="0"/>
        <w:snapToGrid w:val="0"/>
        <w:spacing w:after="0" w:line="240" w:lineRule="auto"/>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2、投标人应密切留意招标文件的更新情况，应根据最后一次发布的电子招标文件制作投标文件。如因使用旧版招标文件制作投标文件而造成不利于投标人后果的，责任由投标人自行承担。</w:t>
      </w:r>
    </w:p>
    <w:p w14:paraId="1BE4FBEE">
      <w:pPr>
        <w:keepNext w:val="0"/>
        <w:keepLines w:val="0"/>
        <w:pageBreakBefore w:val="0"/>
        <w:widowControl w:val="0"/>
        <w:tabs>
          <w:tab w:val="left" w:pos="709"/>
          <w:tab w:val="left" w:pos="993"/>
        </w:tabs>
        <w:kinsoku/>
        <w:wordWrap w:val="0"/>
        <w:overflowPunct/>
        <w:topLinePunct w:val="0"/>
        <w:autoSpaceDE w:val="0"/>
        <w:autoSpaceDN w:val="0"/>
        <w:bidi w:val="0"/>
        <w:adjustRightInd w:val="0"/>
        <w:snapToGrid w:val="0"/>
        <w:spacing w:after="0" w:line="240" w:lineRule="auto"/>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3、制作投标文件时，导入的文件大小须控制在200M以内（若文件过大，请注意</w:t>
      </w:r>
      <w:r>
        <w:rPr>
          <w:rFonts w:ascii="宋体" w:hAnsi="宋体" w:cs="宋体"/>
          <w:color w:val="auto"/>
          <w:sz w:val="24"/>
          <w:szCs w:val="24"/>
          <w:highlight w:val="none"/>
        </w:rPr>
        <w:t>控制文件中的扫描图片或截图等图片大小，或</w:t>
      </w:r>
      <w:r>
        <w:rPr>
          <w:rFonts w:hint="eastAsia" w:ascii="宋体" w:hAnsi="宋体" w:cs="宋体"/>
          <w:color w:val="auto"/>
          <w:sz w:val="24"/>
          <w:szCs w:val="24"/>
          <w:highlight w:val="none"/>
        </w:rPr>
        <w:t>将</w:t>
      </w:r>
      <w:r>
        <w:rPr>
          <w:rFonts w:ascii="宋体" w:hAnsi="宋体" w:cs="宋体"/>
          <w:color w:val="auto"/>
          <w:sz w:val="24"/>
          <w:szCs w:val="24"/>
          <w:highlight w:val="none"/>
        </w:rPr>
        <w:t>word先</w:t>
      </w:r>
      <w:r>
        <w:rPr>
          <w:rFonts w:hint="eastAsia" w:ascii="宋体" w:hAnsi="宋体" w:cs="宋体"/>
          <w:color w:val="auto"/>
          <w:sz w:val="24"/>
          <w:szCs w:val="24"/>
          <w:highlight w:val="none"/>
        </w:rPr>
        <w:t>转成pdf格式后再行导入），否则可能导致文件加密失败。</w:t>
      </w:r>
    </w:p>
    <w:p w14:paraId="3AA1ACEF">
      <w:pPr>
        <w:keepNext w:val="0"/>
        <w:keepLines w:val="0"/>
        <w:pageBreakBefore w:val="0"/>
        <w:widowControl w:val="0"/>
        <w:tabs>
          <w:tab w:val="left" w:pos="709"/>
          <w:tab w:val="left" w:pos="993"/>
        </w:tabs>
        <w:kinsoku/>
        <w:wordWrap w:val="0"/>
        <w:overflowPunct/>
        <w:topLinePunct w:val="0"/>
        <w:autoSpaceDE w:val="0"/>
        <w:autoSpaceDN w:val="0"/>
        <w:bidi w:val="0"/>
        <w:adjustRightInd w:val="0"/>
        <w:snapToGrid w:val="0"/>
        <w:spacing w:after="0" w:line="240" w:lineRule="auto"/>
        <w:ind w:firstLine="420"/>
        <w:textAlignment w:val="auto"/>
        <w:rPr>
          <w:rFonts w:ascii="宋体" w:hAns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、电子投标文件必须在投标截止时间前通过阳光招采电子招标投标交易平台成功上传并确认签名。</w:t>
      </w:r>
    </w:p>
    <w:p w14:paraId="67740DA3">
      <w:pPr>
        <w:keepNext w:val="0"/>
        <w:keepLines w:val="0"/>
        <w:pageBreakBefore w:val="0"/>
        <w:widowControl w:val="0"/>
        <w:tabs>
          <w:tab w:val="left" w:pos="709"/>
          <w:tab w:val="left" w:pos="993"/>
        </w:tabs>
        <w:kinsoku/>
        <w:wordWrap w:val="0"/>
        <w:overflowPunct/>
        <w:topLinePunct w:val="0"/>
        <w:autoSpaceDE w:val="0"/>
        <w:autoSpaceDN w:val="0"/>
        <w:bidi w:val="0"/>
        <w:adjustRightInd w:val="0"/>
        <w:snapToGrid w:val="0"/>
        <w:spacing w:after="0" w:line="240" w:lineRule="auto"/>
        <w:ind w:firstLine="420"/>
        <w:textAlignment w:val="auto"/>
        <w:rPr>
          <w:rFonts w:ascii="宋体" w:hAnsi="宋体" w:cs="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、在投标截止时间之前，如需对已</w:t>
      </w:r>
      <w:r>
        <w:rPr>
          <w:rFonts w:ascii="宋体" w:hAnsi="宋体" w:cs="宋体"/>
          <w:color w:val="auto"/>
          <w:sz w:val="24"/>
          <w:szCs w:val="24"/>
          <w:highlight w:val="none"/>
        </w:rPr>
        <w:t>上传</w:t>
      </w:r>
      <w:r>
        <w:rPr>
          <w:rFonts w:hint="eastAsia" w:ascii="宋体" w:hAnsi="宋体" w:cs="宋体"/>
          <w:color w:val="auto"/>
          <w:sz w:val="24"/>
          <w:szCs w:val="24"/>
          <w:highlight w:val="none"/>
        </w:rPr>
        <w:t>投标文件进行修改，可点击【撤销参与投标】按钮，撤销成功后，应在规定投标截止</w:t>
      </w:r>
      <w:r>
        <w:rPr>
          <w:rFonts w:ascii="宋体" w:hAnsi="宋体" w:cs="宋体"/>
          <w:color w:val="auto"/>
          <w:sz w:val="24"/>
          <w:szCs w:val="24"/>
          <w:highlight w:val="none"/>
        </w:rPr>
        <w:t>时间内</w:t>
      </w:r>
      <w:r>
        <w:rPr>
          <w:rFonts w:hint="eastAsia" w:ascii="宋体" w:hAnsi="宋体" w:cs="宋体"/>
          <w:color w:val="auto"/>
          <w:sz w:val="24"/>
          <w:szCs w:val="24"/>
          <w:highlight w:val="none"/>
        </w:rPr>
        <w:t>重新制作</w:t>
      </w:r>
      <w:r>
        <w:rPr>
          <w:rFonts w:ascii="宋体" w:hAnsi="宋体" w:cs="宋体"/>
          <w:color w:val="auto"/>
          <w:sz w:val="24"/>
          <w:szCs w:val="24"/>
          <w:highlight w:val="none"/>
        </w:rPr>
        <w:t>、</w:t>
      </w:r>
      <w:r>
        <w:rPr>
          <w:rFonts w:hint="eastAsia" w:ascii="宋体" w:hAnsi="宋体" w:cs="宋体"/>
          <w:color w:val="auto"/>
          <w:sz w:val="24"/>
          <w:szCs w:val="24"/>
          <w:highlight w:val="none"/>
        </w:rPr>
        <w:t>上传修改后的投标文件。</w:t>
      </w:r>
    </w:p>
    <w:p w14:paraId="3521E2B2">
      <w:pPr>
        <w:keepNext w:val="0"/>
        <w:keepLines w:val="0"/>
        <w:pageBreakBefore w:val="0"/>
        <w:widowControl w:val="0"/>
        <w:tabs>
          <w:tab w:val="left" w:pos="709"/>
          <w:tab w:val="left" w:pos="993"/>
        </w:tabs>
        <w:kinsoku/>
        <w:wordWrap w:val="0"/>
        <w:overflowPunct/>
        <w:topLinePunct w:val="0"/>
        <w:autoSpaceDE w:val="0"/>
        <w:autoSpaceDN w:val="0"/>
        <w:bidi w:val="0"/>
        <w:adjustRightInd w:val="0"/>
        <w:snapToGrid w:val="0"/>
        <w:spacing w:after="0" w:line="240" w:lineRule="auto"/>
        <w:ind w:firstLine="420"/>
        <w:textAlignment w:val="auto"/>
        <w:rPr>
          <w:rFonts w:ascii="宋体" w:hAnsi="宋体" w:cs="宋体"/>
          <w:color w:val="auto"/>
          <w:sz w:val="24"/>
          <w:szCs w:val="24"/>
          <w:highlight w:val="none"/>
        </w:rPr>
      </w:pPr>
      <w:r>
        <w:rPr>
          <w:rFonts w:ascii="宋体" w:hAnsi="宋体" w:cs="宋体"/>
          <w:color w:val="auto"/>
          <w:sz w:val="24"/>
          <w:szCs w:val="24"/>
          <w:highlight w:val="none"/>
        </w:rPr>
        <w:t>6</w:t>
      </w:r>
      <w:r>
        <w:rPr>
          <w:rFonts w:hint="eastAsia" w:ascii="宋体" w:hAnsi="宋体" w:cs="宋体"/>
          <w:color w:val="auto"/>
          <w:sz w:val="24"/>
          <w:szCs w:val="24"/>
          <w:highlight w:val="none"/>
        </w:rPr>
        <w:t>、如上传</w:t>
      </w:r>
      <w:r>
        <w:rPr>
          <w:rFonts w:ascii="宋体" w:hAnsi="宋体" w:cs="宋体"/>
          <w:color w:val="auto"/>
          <w:sz w:val="24"/>
          <w:szCs w:val="24"/>
          <w:highlight w:val="none"/>
        </w:rPr>
        <w:t>及解密过程出现错误提示，应首先检查是否使用</w:t>
      </w:r>
      <w:r>
        <w:rPr>
          <w:rFonts w:hint="eastAsia" w:ascii="宋体" w:hAnsi="宋体" w:cs="宋体"/>
          <w:color w:val="auto"/>
          <w:sz w:val="24"/>
          <w:szCs w:val="24"/>
          <w:highlight w:val="none"/>
        </w:rPr>
        <w:t>企业CA</w:t>
      </w:r>
      <w:r>
        <w:rPr>
          <w:rFonts w:ascii="宋体" w:hAnsi="宋体" w:cs="宋体"/>
          <w:color w:val="auto"/>
          <w:sz w:val="24"/>
          <w:szCs w:val="24"/>
          <w:highlight w:val="none"/>
        </w:rPr>
        <w:t>、</w:t>
      </w:r>
      <w:r>
        <w:rPr>
          <w:rFonts w:hint="eastAsia" w:ascii="宋体" w:hAnsi="宋体" w:cs="宋体"/>
          <w:color w:val="auto"/>
          <w:sz w:val="24"/>
          <w:szCs w:val="24"/>
          <w:highlight w:val="none"/>
        </w:rPr>
        <w:t>本机</w:t>
      </w:r>
      <w:r>
        <w:rPr>
          <w:rFonts w:ascii="宋体" w:hAnsi="宋体" w:cs="宋体"/>
          <w:color w:val="auto"/>
          <w:sz w:val="24"/>
          <w:szCs w:val="24"/>
          <w:highlight w:val="none"/>
        </w:rPr>
        <w:t>是否</w:t>
      </w:r>
      <w:r>
        <w:rPr>
          <w:rFonts w:hint="eastAsia" w:ascii="宋体" w:hAnsi="宋体" w:cs="宋体"/>
          <w:color w:val="auto"/>
          <w:sz w:val="24"/>
          <w:szCs w:val="24"/>
          <w:highlight w:val="none"/>
        </w:rPr>
        <w:t>安装</w:t>
      </w:r>
      <w:r>
        <w:rPr>
          <w:rFonts w:hint="eastAsia" w:ascii="宋体" w:hAnsi="宋体" w:cs="宋体"/>
          <w:b/>
          <w:color w:val="auto"/>
          <w:sz w:val="24"/>
          <w:szCs w:val="24"/>
          <w:highlight w:val="none"/>
        </w:rPr>
        <w:t>数字签名服务驱动</w:t>
      </w:r>
      <w:r>
        <w:rPr>
          <w:rFonts w:hint="eastAsia" w:ascii="宋体" w:hAnsi="宋体" w:cs="宋体"/>
          <w:color w:val="auto"/>
          <w:sz w:val="24"/>
          <w:szCs w:val="24"/>
          <w:highlight w:val="none"/>
        </w:rPr>
        <w:t>、是否</w:t>
      </w:r>
      <w:r>
        <w:rPr>
          <w:rFonts w:ascii="宋体" w:hAnsi="宋体" w:cs="宋体"/>
          <w:color w:val="auto"/>
          <w:sz w:val="24"/>
          <w:szCs w:val="24"/>
          <w:highlight w:val="none"/>
        </w:rPr>
        <w:t>使用</w:t>
      </w:r>
      <w:r>
        <w:rPr>
          <w:rFonts w:hint="eastAsia" w:ascii="宋体" w:hAnsi="宋体" w:cs="宋体"/>
          <w:color w:val="auto"/>
          <w:sz w:val="24"/>
          <w:szCs w:val="24"/>
          <w:highlight w:val="none"/>
        </w:rPr>
        <w:t>微软E</w:t>
      </w:r>
      <w:r>
        <w:rPr>
          <w:rFonts w:ascii="宋体" w:hAnsi="宋体" w:cs="宋体"/>
          <w:color w:val="auto"/>
          <w:sz w:val="24"/>
          <w:szCs w:val="24"/>
          <w:highlight w:val="none"/>
        </w:rPr>
        <w:t>dge、</w:t>
      </w:r>
      <w:r>
        <w:rPr>
          <w:rFonts w:hint="eastAsia" w:ascii="宋体" w:hAnsi="宋体" w:cs="宋体"/>
          <w:color w:val="auto"/>
          <w:sz w:val="24"/>
          <w:szCs w:val="24"/>
          <w:highlight w:val="none"/>
        </w:rPr>
        <w:t>谷歌</w:t>
      </w:r>
      <w:r>
        <w:rPr>
          <w:rFonts w:ascii="宋体" w:hAnsi="宋体" w:cs="宋体"/>
          <w:color w:val="auto"/>
          <w:sz w:val="24"/>
          <w:szCs w:val="24"/>
          <w:highlight w:val="none"/>
        </w:rPr>
        <w:t>Chrome</w:t>
      </w:r>
      <w:r>
        <w:rPr>
          <w:rFonts w:hint="eastAsia" w:ascii="宋体" w:hAnsi="宋体" w:cs="宋体"/>
          <w:color w:val="auto"/>
          <w:sz w:val="24"/>
          <w:szCs w:val="24"/>
          <w:highlight w:val="none"/>
        </w:rPr>
        <w:t>、3</w:t>
      </w:r>
      <w:r>
        <w:rPr>
          <w:rFonts w:ascii="宋体" w:hAnsi="宋体" w:cs="宋体"/>
          <w:color w:val="auto"/>
          <w:sz w:val="24"/>
          <w:szCs w:val="24"/>
          <w:highlight w:val="none"/>
        </w:rPr>
        <w:t>60</w:t>
      </w:r>
      <w:r>
        <w:rPr>
          <w:rFonts w:hint="eastAsia" w:ascii="宋体" w:hAnsi="宋体" w:cs="宋体"/>
          <w:color w:val="auto"/>
          <w:sz w:val="24"/>
          <w:szCs w:val="24"/>
          <w:highlight w:val="none"/>
        </w:rPr>
        <w:t>、火狐</w:t>
      </w:r>
      <w:r>
        <w:rPr>
          <w:rFonts w:ascii="宋体" w:hAnsi="宋体" w:cs="宋体"/>
          <w:color w:val="auto"/>
          <w:sz w:val="24"/>
          <w:szCs w:val="24"/>
          <w:highlight w:val="none"/>
        </w:rPr>
        <w:t>Firefox</w:t>
      </w:r>
      <w:r>
        <w:rPr>
          <w:rFonts w:hint="eastAsia" w:ascii="宋体" w:hAnsi="宋体" w:cs="宋体"/>
          <w:color w:val="auto"/>
          <w:sz w:val="24"/>
          <w:szCs w:val="24"/>
          <w:highlight w:val="none"/>
        </w:rPr>
        <w:t>等主流</w:t>
      </w:r>
      <w:r>
        <w:rPr>
          <w:rFonts w:ascii="宋体" w:hAnsi="宋体" w:cs="宋体"/>
          <w:color w:val="auto"/>
          <w:sz w:val="24"/>
          <w:szCs w:val="24"/>
          <w:highlight w:val="none"/>
        </w:rPr>
        <w:t>浏览器</w:t>
      </w:r>
      <w:r>
        <w:rPr>
          <w:rFonts w:hint="eastAsia" w:ascii="宋体" w:hAnsi="宋体" w:cs="宋体"/>
          <w:color w:val="auto"/>
          <w:sz w:val="24"/>
          <w:szCs w:val="24"/>
          <w:highlight w:val="none"/>
        </w:rPr>
        <w:t>。</w:t>
      </w:r>
    </w:p>
    <w:p w14:paraId="70028514">
      <w:pPr>
        <w:keepNext w:val="0"/>
        <w:keepLines w:val="0"/>
        <w:pageBreakBefore w:val="0"/>
        <w:widowControl w:val="0"/>
        <w:numPr>
          <w:ilvl w:val="0"/>
          <w:numId w:val="1"/>
        </w:numPr>
        <w:tabs>
          <w:tab w:val="left" w:pos="426"/>
        </w:tabs>
        <w:kinsoku/>
        <w:wordWrap w:val="0"/>
        <w:overflowPunct/>
        <w:topLinePunct w:val="0"/>
        <w:autoSpaceDE w:val="0"/>
        <w:autoSpaceDN w:val="0"/>
        <w:bidi w:val="0"/>
        <w:adjustRightInd w:val="0"/>
        <w:snapToGrid w:val="0"/>
        <w:spacing w:after="0" w:line="240" w:lineRule="auto"/>
        <w:jc w:val="both"/>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技术</w:t>
      </w:r>
      <w:r>
        <w:rPr>
          <w:rFonts w:ascii="宋体" w:hAnsi="宋体" w:cs="宋体"/>
          <w:b/>
          <w:color w:val="auto"/>
          <w:sz w:val="24"/>
          <w:szCs w:val="24"/>
          <w:highlight w:val="none"/>
        </w:rPr>
        <w:t>支持</w:t>
      </w:r>
      <w:r>
        <w:rPr>
          <w:rFonts w:hint="eastAsia" w:ascii="宋体" w:hAnsi="宋体" w:cs="宋体"/>
          <w:b/>
          <w:color w:val="auto"/>
          <w:sz w:val="24"/>
          <w:szCs w:val="24"/>
          <w:highlight w:val="none"/>
        </w:rPr>
        <w:t>联系方式</w:t>
      </w:r>
    </w:p>
    <w:p w14:paraId="2BB835DF">
      <w:pPr>
        <w:keepNext w:val="0"/>
        <w:keepLines w:val="0"/>
        <w:pageBreakBefore w:val="0"/>
        <w:widowControl w:val="0"/>
        <w:tabs>
          <w:tab w:val="left" w:pos="709"/>
          <w:tab w:val="left" w:pos="993"/>
        </w:tabs>
        <w:kinsoku/>
        <w:wordWrap w:val="0"/>
        <w:overflowPunct/>
        <w:topLinePunct w:val="0"/>
        <w:autoSpaceDE w:val="0"/>
        <w:autoSpaceDN w:val="0"/>
        <w:bidi w:val="0"/>
        <w:adjustRightInd w:val="0"/>
        <w:snapToGrid w:val="0"/>
        <w:spacing w:after="0" w:line="240" w:lineRule="auto"/>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1、网络支持：登录平台</w:t>
      </w:r>
      <w:r>
        <w:rPr>
          <w:rFonts w:ascii="宋体" w:hAnsi="宋体" w:cs="宋体"/>
          <w:color w:val="auto"/>
          <w:sz w:val="24"/>
          <w:szCs w:val="24"/>
          <w:highlight w:val="none"/>
        </w:rPr>
        <w:t>后，</w:t>
      </w:r>
      <w:r>
        <w:rPr>
          <w:rFonts w:hint="eastAsia" w:ascii="宋体" w:hAnsi="宋体" w:cs="宋体"/>
          <w:color w:val="auto"/>
          <w:sz w:val="24"/>
          <w:szCs w:val="24"/>
          <w:highlight w:val="none"/>
        </w:rPr>
        <w:t>点击</w:t>
      </w:r>
      <w:r>
        <w:rPr>
          <w:rFonts w:ascii="宋体" w:hAnsi="宋体" w:cs="宋体"/>
          <w:color w:val="auto"/>
          <w:sz w:val="24"/>
          <w:szCs w:val="24"/>
          <w:highlight w:val="none"/>
        </w:rPr>
        <w:t>页面</w:t>
      </w:r>
      <w:r>
        <w:rPr>
          <w:rFonts w:hint="eastAsia" w:ascii="宋体" w:hAnsi="宋体" w:cs="宋体"/>
          <w:color w:val="auto"/>
          <w:sz w:val="24"/>
          <w:szCs w:val="24"/>
          <w:highlight w:val="none"/>
        </w:rPr>
        <w:t>右下角白色机器人图标；</w:t>
      </w:r>
    </w:p>
    <w:p w14:paraId="54F76B2D">
      <w:pPr>
        <w:keepNext w:val="0"/>
        <w:keepLines w:val="0"/>
        <w:pageBreakBefore w:val="0"/>
        <w:widowControl w:val="0"/>
        <w:tabs>
          <w:tab w:val="left" w:pos="709"/>
          <w:tab w:val="left" w:pos="993"/>
        </w:tabs>
        <w:kinsoku/>
        <w:wordWrap w:val="0"/>
        <w:overflowPunct/>
        <w:topLinePunct w:val="0"/>
        <w:autoSpaceDE w:val="0"/>
        <w:autoSpaceDN w:val="0"/>
        <w:bidi w:val="0"/>
        <w:adjustRightInd w:val="0"/>
        <w:snapToGrid w:val="0"/>
        <w:spacing w:after="0" w:line="240" w:lineRule="auto"/>
        <w:ind w:firstLine="420"/>
        <w:textAlignment w:val="auto"/>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、流程操作电话咨询：010-</w:t>
      </w:r>
      <w:r>
        <w:rPr>
          <w:rFonts w:ascii="宋体" w:hAnsi="宋体" w:cs="宋体"/>
          <w:color w:val="auto"/>
          <w:sz w:val="24"/>
          <w:szCs w:val="24"/>
          <w:highlight w:val="none"/>
        </w:rPr>
        <w:t>21362559</w:t>
      </w:r>
      <w:r>
        <w:rPr>
          <w:rFonts w:hint="eastAsia" w:ascii="宋体" w:hAnsi="宋体" w:cs="宋体"/>
          <w:color w:val="auto"/>
          <w:sz w:val="24"/>
          <w:szCs w:val="24"/>
          <w:highlight w:val="none"/>
        </w:rPr>
        <w:t>；</w:t>
      </w:r>
    </w:p>
    <w:p w14:paraId="3B9379B5">
      <w:pPr>
        <w:keepNext w:val="0"/>
        <w:keepLines w:val="0"/>
        <w:pageBreakBefore w:val="0"/>
        <w:widowControl w:val="0"/>
        <w:tabs>
          <w:tab w:val="left" w:pos="709"/>
          <w:tab w:val="left" w:pos="993"/>
        </w:tabs>
        <w:kinsoku/>
        <w:wordWrap w:val="0"/>
        <w:overflowPunct/>
        <w:topLinePunct w:val="0"/>
        <w:autoSpaceDE w:val="0"/>
        <w:autoSpaceDN w:val="0"/>
        <w:bidi w:val="0"/>
        <w:adjustRightInd w:val="0"/>
        <w:snapToGrid w:val="0"/>
        <w:spacing w:after="0" w:line="240" w:lineRule="auto"/>
        <w:ind w:firstLine="420"/>
        <w:textAlignment w:val="auto"/>
        <w:rPr>
          <w:rFonts w:ascii="宋体"/>
          <w:bCs/>
          <w:color w:val="auto"/>
          <w:sz w:val="21"/>
          <w:szCs w:val="21"/>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、QQ： 1724282166。</w:t>
      </w:r>
    </w:p>
    <w:p w14:paraId="23B0F3C4">
      <w:pPr>
        <w:snapToGrid w:val="0"/>
        <w:spacing w:after="0"/>
        <w:jc w:val="center"/>
        <w:rPr>
          <w:rFonts w:ascii="宋体" w:hAnsi="宋体"/>
          <w:b/>
          <w:color w:val="auto"/>
          <w:sz w:val="30"/>
          <w:szCs w:val="28"/>
          <w:highlight w:val="none"/>
        </w:rPr>
      </w:pPr>
      <w:r>
        <w:rPr>
          <w:rFonts w:hint="eastAsia" w:ascii="宋体"/>
          <w:b/>
          <w:color w:val="auto"/>
          <w:sz w:val="30"/>
          <w:szCs w:val="30"/>
          <w:highlight w:val="none"/>
        </w:rPr>
        <w:br w:type="page"/>
      </w:r>
      <w:bookmarkStart w:id="25" w:name="_Toc5001412"/>
      <w:bookmarkStart w:id="26" w:name="_Toc40338624"/>
      <w:bookmarkStart w:id="27" w:name="_Toc5001302"/>
      <w:r>
        <w:rPr>
          <w:rFonts w:hint="eastAsia" w:ascii="宋体" w:hAnsi="宋体"/>
          <w:b/>
          <w:color w:val="auto"/>
          <w:sz w:val="30"/>
          <w:szCs w:val="28"/>
          <w:highlight w:val="none"/>
        </w:rPr>
        <w:t>目  录</w:t>
      </w:r>
      <w:bookmarkEnd w:id="0"/>
      <w:bookmarkEnd w:id="1"/>
      <w:bookmarkEnd w:id="25"/>
      <w:bookmarkEnd w:id="26"/>
      <w:bookmarkEnd w:id="27"/>
    </w:p>
    <w:p w14:paraId="0E90EE39">
      <w:pPr>
        <w:pStyle w:val="26"/>
        <w:tabs>
          <w:tab w:val="right" w:leader="dot" w:pos="8296"/>
        </w:tabs>
        <w:rPr>
          <w:rFonts w:asciiTheme="minorHAnsi" w:hAnsiTheme="minorHAnsi" w:eastAsiaTheme="minorEastAsia" w:cstheme="minorBidi"/>
          <w:color w:val="auto"/>
          <w:kern w:val="2"/>
          <w:sz w:val="21"/>
          <w:highlight w:val="none"/>
        </w:rPr>
      </w:pPr>
      <w:bookmarkStart w:id="28" w:name="_Hlt535305776"/>
      <w:bookmarkStart w:id="29" w:name="_Hlt535305763"/>
      <w:r>
        <w:rPr>
          <w:rFonts w:ascii="Times New Roman" w:hAnsi="Times New Roman"/>
          <w:color w:val="auto"/>
          <w:kern w:val="2"/>
          <w:sz w:val="21"/>
          <w:highlight w:val="none"/>
        </w:rPr>
        <w:fldChar w:fldCharType="begin"/>
      </w:r>
      <w:bookmarkEnd w:id="28"/>
      <w:bookmarkEnd w:id="29"/>
      <w:r>
        <w:rPr>
          <w:rFonts w:hint="eastAsia" w:ascii="宋体" w:hAnsi="宋体"/>
          <w:bCs/>
          <w:color w:val="auto"/>
          <w:sz w:val="23"/>
          <w:szCs w:val="21"/>
          <w:highlight w:val="none"/>
        </w:rPr>
        <w:instrText xml:space="preserve"> TOC \o "1-1" \h \z \u </w:instrText>
      </w:r>
      <w:r>
        <w:rPr>
          <w:rFonts w:ascii="Times New Roman" w:hAnsi="Times New Roman"/>
          <w:color w:val="auto"/>
          <w:kern w:val="2"/>
          <w:sz w:val="21"/>
          <w:highlight w:val="none"/>
        </w:rPr>
        <w:fldChar w:fldCharType="separate"/>
      </w:r>
    </w:p>
    <w:p w14:paraId="690FB5E7">
      <w:pPr>
        <w:pStyle w:val="26"/>
        <w:keepNext w:val="0"/>
        <w:keepLines w:val="0"/>
        <w:pageBreakBefore w:val="0"/>
        <w:widowControl/>
        <w:tabs>
          <w:tab w:val="right" w:leader="dot" w:pos="8296"/>
        </w:tabs>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"_Toc141260227" </w:instrText>
      </w:r>
      <w:r>
        <w:rPr>
          <w:rFonts w:hint="eastAsia" w:ascii="宋体" w:hAnsi="宋体" w:eastAsia="宋体" w:cs="宋体"/>
          <w:color w:val="auto"/>
          <w:sz w:val="24"/>
          <w:szCs w:val="24"/>
          <w:highlight w:val="none"/>
        </w:rPr>
        <w:fldChar w:fldCharType="separate"/>
      </w:r>
      <w:r>
        <w:rPr>
          <w:rStyle w:val="44"/>
          <w:rFonts w:hint="eastAsia" w:ascii="宋体" w:hAnsi="宋体" w:eastAsia="宋体" w:cs="宋体"/>
          <w:b/>
          <w:bCs/>
          <w:color w:val="auto"/>
          <w:sz w:val="24"/>
          <w:szCs w:val="24"/>
          <w:highlight w:val="none"/>
        </w:rPr>
        <w:t>“阳光招采电子招标投标交易平台”相关操作说明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_Toc141260227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C25DC6">
      <w:pPr>
        <w:pStyle w:val="26"/>
        <w:keepNext w:val="0"/>
        <w:keepLines w:val="0"/>
        <w:pageBreakBefore w:val="0"/>
        <w:widowControl/>
        <w:tabs>
          <w:tab w:val="right" w:leader="dot" w:pos="8296"/>
        </w:tabs>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"_Toc141260228" </w:instrText>
      </w:r>
      <w:r>
        <w:rPr>
          <w:rFonts w:hint="eastAsia" w:ascii="宋体" w:hAnsi="宋体" w:eastAsia="宋体" w:cs="宋体"/>
          <w:color w:val="auto"/>
          <w:sz w:val="24"/>
          <w:szCs w:val="24"/>
          <w:highlight w:val="none"/>
        </w:rPr>
        <w:fldChar w:fldCharType="separate"/>
      </w:r>
      <w:r>
        <w:rPr>
          <w:rStyle w:val="44"/>
          <w:rFonts w:hint="eastAsia" w:ascii="宋体" w:hAnsi="宋体" w:eastAsia="宋体" w:cs="宋体"/>
          <w:b/>
          <w:bCs/>
          <w:color w:val="auto"/>
          <w:sz w:val="24"/>
          <w:szCs w:val="24"/>
          <w:highlight w:val="none"/>
        </w:rPr>
        <w:t>第一章 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_Toc141260228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D943C43">
      <w:pPr>
        <w:pStyle w:val="26"/>
        <w:keepNext w:val="0"/>
        <w:keepLines w:val="0"/>
        <w:pageBreakBefore w:val="0"/>
        <w:widowControl/>
        <w:tabs>
          <w:tab w:val="right" w:leader="dot" w:pos="8296"/>
        </w:tabs>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"_Toc141260229" </w:instrText>
      </w:r>
      <w:r>
        <w:rPr>
          <w:rFonts w:hint="eastAsia" w:ascii="宋体" w:hAnsi="宋体" w:eastAsia="宋体" w:cs="宋体"/>
          <w:color w:val="auto"/>
          <w:sz w:val="24"/>
          <w:szCs w:val="24"/>
          <w:highlight w:val="none"/>
        </w:rPr>
        <w:fldChar w:fldCharType="separate"/>
      </w:r>
      <w:r>
        <w:rPr>
          <w:rStyle w:val="44"/>
          <w:rFonts w:hint="eastAsia" w:ascii="宋体" w:hAnsi="宋体" w:eastAsia="宋体" w:cs="宋体"/>
          <w:b/>
          <w:bCs/>
          <w:color w:val="auto"/>
          <w:sz w:val="24"/>
          <w:szCs w:val="24"/>
          <w:highlight w:val="none"/>
        </w:rPr>
        <w:t>第二章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_Toc141260229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AD8AD2F">
      <w:pPr>
        <w:pStyle w:val="26"/>
        <w:keepNext w:val="0"/>
        <w:keepLines w:val="0"/>
        <w:pageBreakBefore w:val="0"/>
        <w:widowControl/>
        <w:tabs>
          <w:tab w:val="right" w:leader="dot" w:pos="8296"/>
        </w:tabs>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"_Toc141260230" </w:instrText>
      </w:r>
      <w:r>
        <w:rPr>
          <w:rFonts w:hint="eastAsia" w:ascii="宋体" w:hAnsi="宋体" w:eastAsia="宋体" w:cs="宋体"/>
          <w:color w:val="auto"/>
          <w:sz w:val="24"/>
          <w:szCs w:val="24"/>
          <w:highlight w:val="none"/>
        </w:rPr>
        <w:fldChar w:fldCharType="separate"/>
      </w:r>
      <w:r>
        <w:rPr>
          <w:rStyle w:val="44"/>
          <w:rFonts w:hint="eastAsia" w:ascii="宋体" w:hAnsi="宋体" w:eastAsia="宋体" w:cs="宋体"/>
          <w:b/>
          <w:bCs/>
          <w:color w:val="auto"/>
          <w:sz w:val="24"/>
          <w:szCs w:val="24"/>
          <w:highlight w:val="none"/>
        </w:rPr>
        <w:t>第三章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_Toc141260230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578AB8E">
      <w:pPr>
        <w:pStyle w:val="26"/>
        <w:keepNext w:val="0"/>
        <w:keepLines w:val="0"/>
        <w:pageBreakBefore w:val="0"/>
        <w:widowControl/>
        <w:tabs>
          <w:tab w:val="right" w:leader="dot" w:pos="8296"/>
        </w:tabs>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"_Toc141260231" </w:instrText>
      </w:r>
      <w:r>
        <w:rPr>
          <w:rFonts w:hint="eastAsia" w:ascii="宋体" w:hAnsi="宋体" w:eastAsia="宋体" w:cs="宋体"/>
          <w:color w:val="auto"/>
          <w:sz w:val="24"/>
          <w:szCs w:val="24"/>
          <w:highlight w:val="none"/>
        </w:rPr>
        <w:fldChar w:fldCharType="separate"/>
      </w:r>
      <w:r>
        <w:rPr>
          <w:rStyle w:val="44"/>
          <w:rFonts w:hint="eastAsia" w:ascii="宋体" w:hAnsi="宋体" w:eastAsia="宋体" w:cs="宋体"/>
          <w:b/>
          <w:bCs/>
          <w:color w:val="auto"/>
          <w:sz w:val="24"/>
          <w:szCs w:val="24"/>
          <w:highlight w:val="none"/>
        </w:rPr>
        <w:t>第四章 评审办法及评分标准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_Toc141260231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15A4B5E">
      <w:pPr>
        <w:pStyle w:val="26"/>
        <w:keepNext w:val="0"/>
        <w:keepLines w:val="0"/>
        <w:pageBreakBefore w:val="0"/>
        <w:widowControl/>
        <w:tabs>
          <w:tab w:val="right" w:leader="dot" w:pos="8296"/>
        </w:tabs>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"_Toc141260232" </w:instrText>
      </w:r>
      <w:r>
        <w:rPr>
          <w:rFonts w:hint="eastAsia" w:ascii="宋体" w:hAnsi="宋体" w:eastAsia="宋体" w:cs="宋体"/>
          <w:color w:val="auto"/>
          <w:sz w:val="24"/>
          <w:szCs w:val="24"/>
          <w:highlight w:val="none"/>
        </w:rPr>
        <w:fldChar w:fldCharType="separate"/>
      </w:r>
      <w:r>
        <w:rPr>
          <w:rStyle w:val="44"/>
          <w:rFonts w:hint="eastAsia" w:ascii="宋体" w:hAnsi="宋体" w:eastAsia="宋体" w:cs="宋体"/>
          <w:b/>
          <w:bCs/>
          <w:color w:val="auto"/>
          <w:sz w:val="24"/>
          <w:szCs w:val="24"/>
          <w:highlight w:val="none"/>
        </w:rPr>
        <w:t>第五章 合同书格式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_Toc141260232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00A1463">
      <w:pPr>
        <w:pStyle w:val="26"/>
        <w:keepNext w:val="0"/>
        <w:keepLines w:val="0"/>
        <w:pageBreakBefore w:val="0"/>
        <w:widowControl/>
        <w:tabs>
          <w:tab w:val="right" w:leader="dot" w:pos="8296"/>
        </w:tabs>
        <w:kinsoku/>
        <w:wordWrap/>
        <w:overflowPunct/>
        <w:topLinePunct w:val="0"/>
        <w:autoSpaceDE/>
        <w:autoSpaceDN/>
        <w:bidi w:val="0"/>
        <w:adjustRightInd/>
        <w:snapToGrid/>
        <w:spacing w:after="0" w:line="360" w:lineRule="auto"/>
        <w:textAlignment w:val="auto"/>
        <w:rPr>
          <w:rFonts w:asciiTheme="minorHAnsi" w:hAnsiTheme="minorHAnsi" w:eastAsiaTheme="minorEastAsia" w:cstheme="minorBidi"/>
          <w:color w:val="auto"/>
          <w:kern w:val="2"/>
          <w:sz w:val="21"/>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"_Toc141260233" </w:instrText>
      </w:r>
      <w:r>
        <w:rPr>
          <w:rFonts w:hint="eastAsia" w:ascii="宋体" w:hAnsi="宋体" w:eastAsia="宋体" w:cs="宋体"/>
          <w:color w:val="auto"/>
          <w:sz w:val="24"/>
          <w:szCs w:val="24"/>
          <w:highlight w:val="none"/>
        </w:rPr>
        <w:fldChar w:fldCharType="separate"/>
      </w:r>
      <w:r>
        <w:rPr>
          <w:rStyle w:val="44"/>
          <w:rFonts w:hint="eastAsia" w:ascii="宋体" w:hAnsi="宋体" w:eastAsia="宋体" w:cs="宋体"/>
          <w:b/>
          <w:bCs/>
          <w:color w:val="auto"/>
          <w:sz w:val="24"/>
          <w:szCs w:val="24"/>
          <w:highlight w:val="none"/>
        </w:rPr>
        <w:t>第六章 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_Toc141260233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830212">
      <w:pPr>
        <w:keepNext/>
        <w:keepLines/>
        <w:adjustRightInd w:val="0"/>
        <w:spacing w:after="0"/>
        <w:jc w:val="center"/>
        <w:textAlignment w:val="baseline"/>
        <w:rPr>
          <w:rFonts w:ascii="Cambria" w:hAnsi="Cambria"/>
          <w:b/>
          <w:bCs/>
          <w:color w:val="auto"/>
          <w:sz w:val="23"/>
          <w:szCs w:val="21"/>
          <w:highlight w:val="none"/>
        </w:rPr>
      </w:pPr>
      <w:r>
        <w:rPr>
          <w:rFonts w:ascii="Times New Roman" w:hAnsi="Times New Roman"/>
          <w:color w:val="auto"/>
          <w:kern w:val="2"/>
          <w:sz w:val="21"/>
          <w:highlight w:val="none"/>
        </w:rPr>
        <w:fldChar w:fldCharType="end"/>
      </w:r>
    </w:p>
    <w:p w14:paraId="5DF331B2">
      <w:pPr>
        <w:spacing w:after="0"/>
        <w:rPr>
          <w:rFonts w:ascii="Cambria" w:hAnsi="Cambria"/>
          <w:b/>
          <w:bCs/>
          <w:color w:val="auto"/>
          <w:sz w:val="23"/>
          <w:szCs w:val="21"/>
          <w:highlight w:val="none"/>
        </w:rPr>
        <w:sectPr>
          <w:footerReference r:id="rId6" w:type="first"/>
          <w:footerReference r:id="rId5" w:type="default"/>
          <w:pgSz w:w="11906" w:h="16838"/>
          <w:pgMar w:top="1440" w:right="1800" w:bottom="1440" w:left="1800" w:header="851" w:footer="992" w:gutter="0"/>
          <w:pgNumType w:start="0"/>
          <w:cols w:space="720" w:num="1"/>
          <w:titlePg/>
          <w:docGrid w:type="lines" w:linePitch="312" w:charSpace="0"/>
        </w:sectPr>
      </w:pPr>
    </w:p>
    <w:bookmarkEnd w:id="2"/>
    <w:bookmarkEnd w:id="3"/>
    <w:p w14:paraId="55C66C9A">
      <w:pPr>
        <w:keepNext/>
        <w:keepLines/>
        <w:adjustRightInd w:val="0"/>
        <w:snapToGrid w:val="0"/>
        <w:spacing w:after="0"/>
        <w:jc w:val="center"/>
        <w:textAlignment w:val="baseline"/>
        <w:outlineLvl w:val="0"/>
        <w:rPr>
          <w:rFonts w:ascii="宋体" w:hAnsi="宋体" w:cs="宋体"/>
          <w:b/>
          <w:bCs/>
          <w:color w:val="auto"/>
          <w:sz w:val="30"/>
          <w:szCs w:val="28"/>
          <w:highlight w:val="none"/>
          <w:lang w:bidi="ar"/>
        </w:rPr>
      </w:pPr>
      <w:bookmarkStart w:id="30" w:name="_Toc7269"/>
      <w:bookmarkStart w:id="31" w:name="_Toc141260228"/>
      <w:r>
        <w:rPr>
          <w:rFonts w:hint="eastAsia" w:ascii="Cambria" w:hAnsi="Cambria"/>
          <w:b/>
          <w:bCs/>
          <w:color w:val="auto"/>
          <w:sz w:val="30"/>
          <w:szCs w:val="28"/>
          <w:highlight w:val="none"/>
        </w:rPr>
        <w:t>第一章</w:t>
      </w:r>
      <w:r>
        <w:rPr>
          <w:rFonts w:ascii="Cambria" w:hAnsi="Cambria"/>
          <w:b/>
          <w:bCs/>
          <w:color w:val="auto"/>
          <w:sz w:val="30"/>
          <w:szCs w:val="28"/>
          <w:highlight w:val="none"/>
        </w:rPr>
        <w:t xml:space="preserve"> </w:t>
      </w:r>
      <w:r>
        <w:rPr>
          <w:rFonts w:hint="eastAsia" w:ascii="Cambria" w:hAnsi="Cambria"/>
          <w:b/>
          <w:bCs/>
          <w:color w:val="auto"/>
          <w:sz w:val="30"/>
          <w:szCs w:val="28"/>
          <w:highlight w:val="none"/>
        </w:rPr>
        <w:t>竞争性磋商</w:t>
      </w:r>
      <w:bookmarkEnd w:id="30"/>
      <w:r>
        <w:rPr>
          <w:rFonts w:hint="eastAsia" w:ascii="Cambria" w:hAnsi="Cambria"/>
          <w:b/>
          <w:bCs/>
          <w:color w:val="auto"/>
          <w:sz w:val="30"/>
          <w:szCs w:val="28"/>
          <w:highlight w:val="none"/>
        </w:rPr>
        <w:t>公告</w:t>
      </w:r>
      <w:bookmarkEnd w:id="31"/>
    </w:p>
    <w:tbl>
      <w:tblPr>
        <w:tblStyle w:val="1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479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14:paraId="38414236">
            <w:pPr>
              <w:keepNext w:val="0"/>
              <w:keepLines w:val="0"/>
              <w:pageBreakBefore w:val="0"/>
              <w:kinsoku/>
              <w:wordWrap/>
              <w:overflowPunct/>
              <w:topLinePunct w:val="0"/>
              <w:bidi w:val="0"/>
              <w:adjustRightInd/>
              <w:snapToGrid/>
              <w:spacing w:after="0" w:line="440" w:lineRule="exact"/>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项目概况</w:t>
            </w:r>
          </w:p>
          <w:p w14:paraId="3A95EB88">
            <w:pPr>
              <w:keepNext w:val="0"/>
              <w:keepLines w:val="0"/>
              <w:pageBreakBefore w:val="0"/>
              <w:widowControl/>
              <w:kinsoku/>
              <w:wordWrap w:val="0"/>
              <w:overflowPunct/>
              <w:topLinePunct w:val="0"/>
              <w:autoSpaceDE/>
              <w:autoSpaceDN/>
              <w:bidi w:val="0"/>
              <w:adjustRightInd/>
              <w:snapToGrid/>
              <w:spacing w:after="0" w:line="440" w:lineRule="exact"/>
              <w:textAlignment w:val="auto"/>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b/>
                <w:bCs/>
                <w:color w:val="auto"/>
                <w:sz w:val="24"/>
                <w:szCs w:val="24"/>
                <w:highlight w:val="none"/>
                <w:u w:val="single"/>
              </w:rPr>
              <w:t>劳务派遣服务采购项目</w:t>
            </w:r>
            <w:r>
              <w:rPr>
                <w:rFonts w:hint="eastAsia" w:ascii="宋体" w:hAnsi="宋体"/>
                <w:color w:val="auto"/>
                <w:sz w:val="24"/>
                <w:szCs w:val="24"/>
                <w:highlight w:val="none"/>
              </w:rPr>
              <w:t>的潜在供应商应在</w:t>
            </w:r>
            <w:r>
              <w:rPr>
                <w:rFonts w:hint="eastAsia" w:ascii="宋体" w:hAnsi="宋体"/>
                <w:color w:val="auto"/>
                <w:sz w:val="24"/>
                <w:szCs w:val="24"/>
                <w:highlight w:val="none"/>
                <w:u w:val="single"/>
              </w:rPr>
              <w:t>阳光招采电子招标投标交易平台（网址：</w:t>
            </w:r>
            <w:r>
              <w:rPr>
                <w:rFonts w:ascii="宋体" w:hAnsi="宋体"/>
                <w:color w:val="auto"/>
                <w:sz w:val="24"/>
                <w:szCs w:val="24"/>
                <w:highlight w:val="none"/>
                <w:u w:val="single"/>
              </w:rPr>
              <w:t>https://www.yangguangzhaocai.com/</w:t>
            </w:r>
            <w:r>
              <w:rPr>
                <w:rFonts w:hint="eastAsia" w:ascii="宋体" w:hAnsi="宋体"/>
                <w:color w:val="auto"/>
                <w:sz w:val="24"/>
                <w:szCs w:val="24"/>
                <w:highlight w:val="none"/>
                <w:u w:val="single"/>
              </w:rPr>
              <w:t>）</w:t>
            </w:r>
            <w:r>
              <w:rPr>
                <w:rFonts w:hint="eastAsia" w:ascii="宋体" w:hAnsi="宋体"/>
                <w:color w:val="auto"/>
                <w:sz w:val="24"/>
                <w:szCs w:val="24"/>
                <w:highlight w:val="none"/>
              </w:rPr>
              <w:t>获取采购文件，并于</w:t>
            </w:r>
            <w:r>
              <w:rPr>
                <w:rFonts w:hint="eastAsia" w:ascii="宋体" w:hAnsi="宋体"/>
                <w:color w:val="auto"/>
                <w:sz w:val="24"/>
                <w:szCs w:val="24"/>
                <w:highlight w:val="none"/>
                <w:u w:val="single"/>
                <w:lang w:val="en-US" w:eastAsia="zh-CN"/>
              </w:rPr>
              <w:t>2025</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11</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09</w:t>
            </w:r>
            <w:r>
              <w:rPr>
                <w:rFonts w:hint="eastAsia" w:ascii="宋体" w:hAnsi="宋体"/>
                <w:color w:val="auto"/>
                <w:sz w:val="24"/>
                <w:szCs w:val="24"/>
                <w:highlight w:val="none"/>
              </w:rPr>
              <w:t>点</w:t>
            </w:r>
            <w:r>
              <w:rPr>
                <w:rFonts w:hint="eastAsia" w:ascii="宋体" w:hAnsi="宋体"/>
                <w:color w:val="auto"/>
                <w:sz w:val="24"/>
                <w:szCs w:val="24"/>
                <w:highlight w:val="none"/>
                <w:u w:val="single"/>
                <w:lang w:val="en-US" w:eastAsia="zh-CN"/>
              </w:rPr>
              <w:t>30</w:t>
            </w:r>
            <w:r>
              <w:rPr>
                <w:rFonts w:hint="eastAsia" w:ascii="宋体" w:hAnsi="宋体"/>
                <w:color w:val="auto"/>
                <w:sz w:val="24"/>
                <w:szCs w:val="24"/>
                <w:highlight w:val="none"/>
              </w:rPr>
              <w:t>分（北京时间）前提交响应文件。</w:t>
            </w:r>
          </w:p>
        </w:tc>
      </w:tr>
    </w:tbl>
    <w:p w14:paraId="67F136A0">
      <w:pPr>
        <w:keepNext w:val="0"/>
        <w:keepLines w:val="0"/>
        <w:pageBreakBefore w:val="0"/>
        <w:widowControl w:val="0"/>
        <w:numPr>
          <w:ilvl w:val="0"/>
          <w:numId w:val="2"/>
        </w:numPr>
        <w:kinsoku/>
        <w:wordWrap/>
        <w:overflowPunct/>
        <w:topLinePunct w:val="0"/>
        <w:bidi w:val="0"/>
        <w:adjustRightInd/>
        <w:snapToGrid/>
        <w:spacing w:after="0" w:line="440" w:lineRule="exact"/>
        <w:ind w:left="490" w:hanging="490"/>
        <w:jc w:val="both"/>
        <w:textAlignment w:val="auto"/>
        <w:rPr>
          <w:rFonts w:ascii="宋体" w:hAnsi="宋体"/>
          <w:b/>
          <w:color w:val="auto"/>
          <w:sz w:val="24"/>
          <w:szCs w:val="24"/>
          <w:highlight w:val="none"/>
        </w:rPr>
      </w:pPr>
      <w:r>
        <w:rPr>
          <w:rFonts w:hint="eastAsia" w:ascii="宋体" w:hAnsi="宋体"/>
          <w:b/>
          <w:color w:val="auto"/>
          <w:sz w:val="24"/>
          <w:szCs w:val="24"/>
          <w:highlight w:val="none"/>
        </w:rPr>
        <w:t>项目基本情况：</w:t>
      </w:r>
    </w:p>
    <w:p w14:paraId="2BC98D17">
      <w:pPr>
        <w:keepNext w:val="0"/>
        <w:keepLines w:val="0"/>
        <w:pageBreakBefore w:val="0"/>
        <w:widowControl w:val="0"/>
        <w:numPr>
          <w:ilvl w:val="0"/>
          <w:numId w:val="3"/>
        </w:numPr>
        <w:kinsoku/>
        <w:wordWrap/>
        <w:overflowPunct/>
        <w:topLinePunct w:val="0"/>
        <w:bidi w:val="0"/>
        <w:adjustRightInd/>
        <w:snapToGrid/>
        <w:spacing w:after="0" w:line="440" w:lineRule="exact"/>
        <w:ind w:left="240" w:leftChars="109"/>
        <w:contextualSpacing/>
        <w:jc w:val="both"/>
        <w:textAlignment w:val="auto"/>
        <w:rPr>
          <w:rFonts w:ascii="宋体" w:hAnsi="宋体"/>
          <w:color w:val="auto"/>
          <w:sz w:val="24"/>
          <w:szCs w:val="24"/>
          <w:highlight w:val="none"/>
        </w:rPr>
      </w:pPr>
      <w:r>
        <w:rPr>
          <w:rFonts w:hint="eastAsia" w:ascii="宋体" w:hAnsi="宋体"/>
          <w:color w:val="auto"/>
          <w:sz w:val="24"/>
          <w:szCs w:val="24"/>
          <w:highlight w:val="none"/>
        </w:rPr>
        <w:t>项目编号：ZB0105-202510-ZCFW1643</w:t>
      </w:r>
    </w:p>
    <w:p w14:paraId="39FD1F3A">
      <w:pPr>
        <w:keepNext w:val="0"/>
        <w:keepLines w:val="0"/>
        <w:pageBreakBefore w:val="0"/>
        <w:widowControl w:val="0"/>
        <w:numPr>
          <w:ilvl w:val="0"/>
          <w:numId w:val="3"/>
        </w:numPr>
        <w:kinsoku/>
        <w:wordWrap/>
        <w:overflowPunct/>
        <w:topLinePunct w:val="0"/>
        <w:bidi w:val="0"/>
        <w:adjustRightInd/>
        <w:snapToGrid/>
        <w:spacing w:after="0" w:line="440" w:lineRule="exact"/>
        <w:ind w:left="240" w:leftChars="109"/>
        <w:contextualSpacing/>
        <w:jc w:val="both"/>
        <w:textAlignment w:val="auto"/>
        <w:rPr>
          <w:rFonts w:ascii="宋体" w:hAnsi="宋体"/>
          <w:bCs/>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劳务派遣服务采购项目</w:t>
      </w:r>
    </w:p>
    <w:p w14:paraId="3EA3D6E7">
      <w:pPr>
        <w:keepNext w:val="0"/>
        <w:keepLines w:val="0"/>
        <w:pageBreakBefore w:val="0"/>
        <w:widowControl w:val="0"/>
        <w:numPr>
          <w:ilvl w:val="0"/>
          <w:numId w:val="3"/>
        </w:numPr>
        <w:kinsoku/>
        <w:wordWrap/>
        <w:overflowPunct/>
        <w:topLinePunct w:val="0"/>
        <w:bidi w:val="0"/>
        <w:adjustRightInd/>
        <w:snapToGrid/>
        <w:spacing w:after="0" w:line="440" w:lineRule="exact"/>
        <w:ind w:left="240" w:leftChars="109"/>
        <w:contextualSpacing/>
        <w:jc w:val="both"/>
        <w:textAlignment w:val="auto"/>
        <w:rPr>
          <w:rFonts w:ascii="宋体" w:hAnsi="宋体"/>
          <w:bCs/>
          <w:color w:val="auto"/>
          <w:sz w:val="24"/>
          <w:szCs w:val="24"/>
          <w:highlight w:val="none"/>
        </w:rPr>
      </w:pPr>
      <w:r>
        <w:rPr>
          <w:rFonts w:hint="eastAsia" w:ascii="宋体" w:hAnsi="宋体"/>
          <w:bCs/>
          <w:color w:val="auto"/>
          <w:sz w:val="24"/>
          <w:szCs w:val="24"/>
          <w:highlight w:val="none"/>
        </w:rPr>
        <w:t>采购方式：竞争性磋商</w:t>
      </w:r>
    </w:p>
    <w:p w14:paraId="2E7825CC">
      <w:pPr>
        <w:keepNext w:val="0"/>
        <w:keepLines w:val="0"/>
        <w:pageBreakBefore w:val="0"/>
        <w:widowControl w:val="0"/>
        <w:numPr>
          <w:ilvl w:val="0"/>
          <w:numId w:val="3"/>
        </w:numPr>
        <w:kinsoku/>
        <w:wordWrap/>
        <w:overflowPunct/>
        <w:topLinePunct w:val="0"/>
        <w:bidi w:val="0"/>
        <w:adjustRightInd/>
        <w:snapToGrid/>
        <w:spacing w:after="0" w:line="440" w:lineRule="exact"/>
        <w:ind w:left="240" w:leftChars="109"/>
        <w:contextualSpacing/>
        <w:jc w:val="both"/>
        <w:textAlignment w:val="auto"/>
        <w:rPr>
          <w:rFonts w:ascii="宋体" w:hAnsi="宋体"/>
          <w:color w:val="auto"/>
          <w:sz w:val="24"/>
          <w:szCs w:val="24"/>
          <w:highlight w:val="none"/>
        </w:rPr>
      </w:pPr>
      <w:r>
        <w:rPr>
          <w:rFonts w:hint="eastAsia" w:ascii="宋体" w:hAnsi="宋体"/>
          <w:color w:val="auto"/>
          <w:sz w:val="24"/>
          <w:szCs w:val="24"/>
          <w:highlight w:val="none"/>
        </w:rPr>
        <w:t>预算金额</w:t>
      </w:r>
      <w:bookmarkStart w:id="191" w:name="_GoBack"/>
      <w:bookmarkEnd w:id="191"/>
      <w:r>
        <w:rPr>
          <w:rFonts w:hint="eastAsia" w:ascii="宋体" w:hAnsi="宋体"/>
          <w:color w:val="auto"/>
          <w:sz w:val="24"/>
          <w:szCs w:val="24"/>
          <w:highlight w:val="none"/>
        </w:rPr>
        <w:t>：</w:t>
      </w:r>
      <w:r>
        <w:rPr>
          <w:rFonts w:hint="eastAsia" w:ascii="宋体" w:hAnsi="宋体" w:cs="宋体"/>
          <w:bCs/>
          <w:color w:val="auto"/>
          <w:sz w:val="24"/>
          <w:szCs w:val="24"/>
          <w:highlight w:val="none"/>
          <w:u w:val="single"/>
          <w:lang w:val="en-US" w:eastAsia="zh-CN"/>
        </w:rPr>
        <w:t>45</w:t>
      </w:r>
      <w:r>
        <w:rPr>
          <w:rFonts w:hint="eastAsia" w:ascii="宋体" w:hAnsi="宋体" w:cs="宋体"/>
          <w:bCs/>
          <w:color w:val="auto"/>
          <w:sz w:val="24"/>
          <w:szCs w:val="24"/>
          <w:highlight w:val="none"/>
        </w:rPr>
        <w:t>万元</w:t>
      </w:r>
      <w:r>
        <w:rPr>
          <w:rFonts w:hint="eastAsia" w:ascii="宋体" w:hAnsi="宋体" w:cs="宋体"/>
          <w:bCs/>
          <w:color w:val="auto"/>
          <w:sz w:val="24"/>
          <w:szCs w:val="24"/>
          <w:highlight w:val="none"/>
          <w:lang w:val="en-US" w:eastAsia="zh-CN"/>
        </w:rPr>
        <w:t>/年</w:t>
      </w:r>
    </w:p>
    <w:p w14:paraId="524EE0B2">
      <w:pPr>
        <w:keepNext w:val="0"/>
        <w:keepLines w:val="0"/>
        <w:pageBreakBefore w:val="0"/>
        <w:widowControl w:val="0"/>
        <w:numPr>
          <w:ilvl w:val="0"/>
          <w:numId w:val="3"/>
        </w:numPr>
        <w:kinsoku/>
        <w:wordWrap/>
        <w:overflowPunct/>
        <w:topLinePunct w:val="0"/>
        <w:bidi w:val="0"/>
        <w:adjustRightInd/>
        <w:snapToGrid/>
        <w:spacing w:after="0" w:line="440" w:lineRule="exact"/>
        <w:ind w:left="240" w:leftChars="109"/>
        <w:contextualSpacing/>
        <w:jc w:val="both"/>
        <w:textAlignment w:val="auto"/>
        <w:rPr>
          <w:rFonts w:ascii="宋体" w:hAnsi="宋体"/>
          <w:color w:val="auto"/>
          <w:sz w:val="24"/>
          <w:szCs w:val="24"/>
          <w:highlight w:val="none"/>
        </w:rPr>
      </w:pPr>
      <w:r>
        <w:rPr>
          <w:rFonts w:hint="eastAsia" w:ascii="宋体" w:hAnsi="宋体"/>
          <w:color w:val="auto"/>
          <w:sz w:val="24"/>
          <w:szCs w:val="24"/>
          <w:highlight w:val="none"/>
        </w:rPr>
        <w:t>最高限价（如有）：</w:t>
      </w:r>
      <w:r>
        <w:rPr>
          <w:rFonts w:hint="eastAsia" w:ascii="宋体" w:hAnsi="宋体" w:cs="宋体"/>
          <w:bCs/>
          <w:color w:val="auto"/>
          <w:sz w:val="24"/>
          <w:szCs w:val="24"/>
          <w:highlight w:val="none"/>
          <w:u w:val="single"/>
          <w:lang w:val="en-US" w:eastAsia="zh-CN"/>
        </w:rPr>
        <w:t>45</w:t>
      </w:r>
      <w:r>
        <w:rPr>
          <w:rFonts w:hint="eastAsia" w:ascii="宋体" w:hAnsi="宋体" w:cs="宋体"/>
          <w:bCs/>
          <w:color w:val="auto"/>
          <w:sz w:val="24"/>
          <w:szCs w:val="24"/>
          <w:highlight w:val="none"/>
        </w:rPr>
        <w:t>万元</w:t>
      </w:r>
      <w:r>
        <w:rPr>
          <w:rFonts w:hint="eastAsia" w:ascii="宋体" w:hAnsi="宋体" w:cs="宋体"/>
          <w:bCs/>
          <w:color w:val="auto"/>
          <w:sz w:val="24"/>
          <w:szCs w:val="24"/>
          <w:highlight w:val="none"/>
          <w:lang w:val="en-US" w:eastAsia="zh-CN"/>
        </w:rPr>
        <w:t>/年</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其中包含</w:t>
      </w:r>
      <w:r>
        <w:rPr>
          <w:rFonts w:hint="eastAsia" w:ascii="宋体" w:hAnsi="宋体" w:cs="宋体"/>
          <w:bCs/>
          <w:color w:val="auto"/>
          <w:sz w:val="24"/>
          <w:szCs w:val="24"/>
          <w:highlight w:val="none"/>
        </w:rPr>
        <w:t>人员管理费预算为</w:t>
      </w:r>
      <w:r>
        <w:rPr>
          <w:rFonts w:hint="eastAsia" w:ascii="宋体" w:hAnsi="宋体" w:cs="宋体"/>
          <w:bCs/>
          <w:color w:val="auto"/>
          <w:sz w:val="24"/>
          <w:szCs w:val="24"/>
          <w:highlight w:val="none"/>
          <w:lang w:val="en-US" w:eastAsia="zh-CN"/>
        </w:rPr>
        <w:t>10</w:t>
      </w:r>
      <w:r>
        <w:rPr>
          <w:rFonts w:hint="eastAsia" w:ascii="宋体" w:hAnsi="宋体" w:cs="宋体"/>
          <w:bCs/>
          <w:color w:val="auto"/>
          <w:sz w:val="24"/>
          <w:szCs w:val="24"/>
          <w:highlight w:val="none"/>
        </w:rPr>
        <w:t>0元/人/月。供应商报价不得超过限价，否则按无效响应处理</w:t>
      </w:r>
      <w:r>
        <w:rPr>
          <w:rFonts w:hint="eastAsia" w:ascii="宋体" w:hAnsi="宋体" w:cs="宋体"/>
          <w:bCs/>
          <w:color w:val="auto"/>
          <w:sz w:val="24"/>
          <w:szCs w:val="24"/>
          <w:highlight w:val="none"/>
          <w:lang w:eastAsia="zh-CN"/>
        </w:rPr>
        <w:t>。</w:t>
      </w:r>
    </w:p>
    <w:p w14:paraId="370EE17C">
      <w:pPr>
        <w:keepNext w:val="0"/>
        <w:keepLines w:val="0"/>
        <w:pageBreakBefore w:val="0"/>
        <w:widowControl w:val="0"/>
        <w:numPr>
          <w:ilvl w:val="0"/>
          <w:numId w:val="3"/>
        </w:numPr>
        <w:kinsoku/>
        <w:wordWrap/>
        <w:overflowPunct/>
        <w:topLinePunct w:val="0"/>
        <w:bidi w:val="0"/>
        <w:adjustRightInd/>
        <w:snapToGrid/>
        <w:spacing w:after="0" w:line="440" w:lineRule="exact"/>
        <w:ind w:left="240" w:leftChars="109"/>
        <w:contextualSpacing/>
        <w:jc w:val="both"/>
        <w:textAlignment w:val="auto"/>
        <w:rPr>
          <w:rFonts w:ascii="宋体" w:hAnsi="宋体"/>
          <w:b/>
          <w:i/>
          <w:color w:val="auto"/>
          <w:sz w:val="24"/>
          <w:szCs w:val="24"/>
          <w:highlight w:val="none"/>
        </w:rPr>
      </w:pPr>
      <w:r>
        <w:rPr>
          <w:rFonts w:hint="eastAsia" w:ascii="宋体" w:hAnsi="宋体"/>
          <w:color w:val="auto"/>
          <w:sz w:val="24"/>
          <w:szCs w:val="24"/>
          <w:highlight w:val="none"/>
        </w:rPr>
        <w:t>采购需求</w:t>
      </w:r>
      <w:r>
        <w:rPr>
          <w:rFonts w:hint="eastAsia" w:ascii="宋体" w:hAnsi="宋体"/>
          <w:b/>
          <w:color w:val="auto"/>
          <w:sz w:val="24"/>
          <w:szCs w:val="24"/>
          <w:highlight w:val="none"/>
        </w:rPr>
        <w:t>：</w:t>
      </w:r>
      <w:r>
        <w:rPr>
          <w:rFonts w:hint="eastAsia" w:ascii="宋体" w:hAnsi="宋体"/>
          <w:b w:val="0"/>
          <w:bCs/>
          <w:color w:val="auto"/>
          <w:sz w:val="24"/>
          <w:szCs w:val="24"/>
          <w:highlight w:val="none"/>
          <w:u w:val="none"/>
          <w:lang w:val="en-US" w:eastAsia="zh-CN"/>
        </w:rPr>
        <w:t>供应商</w:t>
      </w:r>
      <w:r>
        <w:rPr>
          <w:rFonts w:hint="eastAsia" w:ascii="宋体" w:hAnsi="宋体"/>
          <w:b w:val="0"/>
          <w:bCs/>
          <w:color w:val="auto"/>
          <w:sz w:val="24"/>
          <w:szCs w:val="24"/>
          <w:highlight w:val="none"/>
          <w:u w:val="none"/>
        </w:rPr>
        <w:t>与劳务派遣人员签订劳动合同，建立劳动关系，负责为劳务派遣人员办理社会保险和公积金的缴存及转移、工资发放、人事、党团组织关系等相关事宜，以及与武汉市东湖生态旅游风景区自然资源局共同做好劳务派遣人员劳动纠纷及工伤事故处置等工作。本项目拟聘劳务派遣人员6人</w:t>
      </w:r>
      <w:r>
        <w:rPr>
          <w:rFonts w:hint="eastAsia" w:ascii="宋体" w:hAnsi="宋体"/>
          <w:b w:val="0"/>
          <w:bCs/>
          <w:color w:val="auto"/>
          <w:sz w:val="24"/>
          <w:szCs w:val="24"/>
          <w:highlight w:val="none"/>
          <w:u w:val="none"/>
          <w:lang w:eastAsia="zh-CN"/>
        </w:rPr>
        <w:t>。</w:t>
      </w:r>
    </w:p>
    <w:p w14:paraId="50ED1D33">
      <w:pPr>
        <w:keepNext w:val="0"/>
        <w:keepLines w:val="0"/>
        <w:pageBreakBefore w:val="0"/>
        <w:widowControl w:val="0"/>
        <w:numPr>
          <w:ilvl w:val="0"/>
          <w:numId w:val="3"/>
        </w:numPr>
        <w:kinsoku/>
        <w:wordWrap/>
        <w:overflowPunct/>
        <w:topLinePunct w:val="0"/>
        <w:bidi w:val="0"/>
        <w:adjustRightInd/>
        <w:snapToGrid/>
        <w:spacing w:after="0" w:line="440" w:lineRule="exact"/>
        <w:ind w:left="240" w:leftChars="109"/>
        <w:contextualSpacing/>
        <w:jc w:val="both"/>
        <w:textAlignment w:val="auto"/>
        <w:rPr>
          <w:rFonts w:ascii="宋体" w:hAnsi="宋体"/>
          <w:color w:val="auto"/>
          <w:sz w:val="24"/>
          <w:szCs w:val="24"/>
          <w:highlight w:val="none"/>
        </w:rPr>
      </w:pPr>
      <w:r>
        <w:rPr>
          <w:rFonts w:hint="eastAsia" w:ascii="宋体" w:hAnsi="宋体"/>
          <w:color w:val="auto"/>
          <w:sz w:val="24"/>
          <w:szCs w:val="24"/>
          <w:highlight w:val="none"/>
        </w:rPr>
        <w:t>合同履行期限：</w:t>
      </w:r>
      <w:r>
        <w:rPr>
          <w:rFonts w:hint="eastAsia" w:ascii="宋体" w:hAnsi="宋体" w:cs="宋体"/>
          <w:color w:val="auto"/>
          <w:sz w:val="24"/>
          <w:szCs w:val="24"/>
          <w:highlight w:val="none"/>
          <w:u w:val="single"/>
        </w:rPr>
        <w:t>服务期：三年。</w:t>
      </w:r>
    </w:p>
    <w:p w14:paraId="33860E7C">
      <w:pPr>
        <w:keepNext w:val="0"/>
        <w:keepLines w:val="0"/>
        <w:pageBreakBefore w:val="0"/>
        <w:widowControl w:val="0"/>
        <w:numPr>
          <w:ilvl w:val="0"/>
          <w:numId w:val="3"/>
        </w:numPr>
        <w:kinsoku/>
        <w:wordWrap/>
        <w:overflowPunct/>
        <w:topLinePunct w:val="0"/>
        <w:bidi w:val="0"/>
        <w:adjustRightInd/>
        <w:snapToGrid/>
        <w:spacing w:after="0" w:line="440" w:lineRule="exact"/>
        <w:ind w:left="240" w:leftChars="109"/>
        <w:contextualSpacing/>
        <w:jc w:val="both"/>
        <w:textAlignment w:val="auto"/>
        <w:rPr>
          <w:rFonts w:ascii="宋体" w:hAnsi="宋体"/>
          <w:color w:val="auto"/>
          <w:sz w:val="24"/>
          <w:szCs w:val="24"/>
          <w:highlight w:val="none"/>
        </w:rPr>
      </w:pPr>
      <w:r>
        <w:rPr>
          <w:rFonts w:hint="eastAsia" w:ascii="宋体" w:hAnsi="宋体"/>
          <w:color w:val="auto"/>
          <w:sz w:val="24"/>
          <w:szCs w:val="24"/>
          <w:highlight w:val="none"/>
        </w:rPr>
        <w:t>本项目（</w:t>
      </w:r>
      <w:r>
        <w:rPr>
          <w:rFonts w:hint="eastAsia" w:ascii="宋体" w:hAnsi="宋体"/>
          <w:color w:val="auto"/>
          <w:sz w:val="24"/>
          <w:szCs w:val="24"/>
          <w:highlight w:val="none"/>
          <w:u w:val="single"/>
        </w:rPr>
        <w:t>不接受</w:t>
      </w:r>
      <w:r>
        <w:rPr>
          <w:rFonts w:hint="eastAsia" w:ascii="宋体" w:hAnsi="宋体"/>
          <w:color w:val="auto"/>
          <w:sz w:val="24"/>
          <w:szCs w:val="24"/>
          <w:highlight w:val="none"/>
        </w:rPr>
        <w:t>）联合体参与响应</w:t>
      </w:r>
      <w:r>
        <w:rPr>
          <w:rFonts w:hint="eastAsia" w:ascii="宋体" w:hAnsi="宋体"/>
          <w:color w:val="auto"/>
          <w:sz w:val="24"/>
          <w:szCs w:val="24"/>
          <w:highlight w:val="none"/>
          <w:lang w:eastAsia="zh-CN"/>
        </w:rPr>
        <w:t>。</w:t>
      </w:r>
    </w:p>
    <w:p w14:paraId="38E68689">
      <w:pPr>
        <w:keepNext w:val="0"/>
        <w:keepLines w:val="0"/>
        <w:pageBreakBefore w:val="0"/>
        <w:widowControl w:val="0"/>
        <w:numPr>
          <w:ilvl w:val="0"/>
          <w:numId w:val="2"/>
        </w:numPr>
        <w:kinsoku/>
        <w:wordWrap/>
        <w:overflowPunct/>
        <w:topLinePunct w:val="0"/>
        <w:bidi w:val="0"/>
        <w:adjustRightInd/>
        <w:snapToGrid/>
        <w:spacing w:after="0" w:line="440" w:lineRule="exact"/>
        <w:ind w:left="490" w:hanging="490"/>
        <w:jc w:val="both"/>
        <w:textAlignment w:val="auto"/>
        <w:rPr>
          <w:rFonts w:ascii="宋体" w:hAnsi="宋体"/>
          <w:b/>
          <w:color w:val="auto"/>
          <w:sz w:val="24"/>
          <w:szCs w:val="24"/>
          <w:highlight w:val="none"/>
        </w:rPr>
      </w:pPr>
      <w:r>
        <w:rPr>
          <w:rFonts w:hint="eastAsia" w:ascii="宋体" w:hAnsi="宋体"/>
          <w:b/>
          <w:color w:val="auto"/>
          <w:sz w:val="24"/>
          <w:szCs w:val="24"/>
          <w:highlight w:val="none"/>
        </w:rPr>
        <w:t>供应商的资格要求：</w:t>
      </w:r>
    </w:p>
    <w:p w14:paraId="7EC4074A">
      <w:pPr>
        <w:keepNext w:val="0"/>
        <w:keepLines w:val="0"/>
        <w:pageBreakBefore w:val="0"/>
        <w:widowControl w:val="0"/>
        <w:numPr>
          <w:ilvl w:val="0"/>
          <w:numId w:val="4"/>
        </w:numPr>
        <w:tabs>
          <w:tab w:val="left" w:pos="896"/>
        </w:tabs>
        <w:kinsoku/>
        <w:wordWrap/>
        <w:overflowPunct/>
        <w:topLinePunct w:val="0"/>
        <w:bidi w:val="0"/>
        <w:adjustRightInd/>
        <w:snapToGrid/>
        <w:spacing w:after="0" w:line="440" w:lineRule="exact"/>
        <w:ind w:left="262" w:leftChars="119"/>
        <w:jc w:val="both"/>
        <w:textAlignment w:val="auto"/>
        <w:rPr>
          <w:rFonts w:ascii="宋体" w:hAnsi="宋体"/>
          <w:color w:val="auto"/>
          <w:sz w:val="24"/>
          <w:szCs w:val="24"/>
          <w:highlight w:val="none"/>
        </w:rPr>
      </w:pPr>
      <w:r>
        <w:rPr>
          <w:rFonts w:hint="eastAsia" w:ascii="宋体" w:hAnsi="宋体"/>
          <w:color w:val="auto"/>
          <w:sz w:val="24"/>
          <w:szCs w:val="24"/>
          <w:highlight w:val="none"/>
        </w:rPr>
        <w:t>供应商应具备《中华人民共和国政府采购法》第二十二条规定的条件：</w:t>
      </w:r>
    </w:p>
    <w:p w14:paraId="415893B3">
      <w:pPr>
        <w:pStyle w:val="99"/>
        <w:keepNext w:val="0"/>
        <w:keepLines w:val="0"/>
        <w:pageBreakBefore w:val="0"/>
        <w:widowControl w:val="0"/>
        <w:numPr>
          <w:ilvl w:val="0"/>
          <w:numId w:val="5"/>
        </w:numPr>
        <w:kinsoku/>
        <w:wordWrap/>
        <w:overflowPunct/>
        <w:topLinePunct w:val="0"/>
        <w:bidi w:val="0"/>
        <w:adjustRightInd/>
        <w:snapToGrid/>
        <w:spacing w:after="0" w:line="440" w:lineRule="exact"/>
        <w:jc w:val="both"/>
        <w:textAlignment w:val="auto"/>
        <w:rPr>
          <w:rFonts w:ascii="宋体" w:hAnsi="宋体"/>
          <w:color w:val="auto"/>
          <w:kern w:val="2"/>
          <w:sz w:val="24"/>
          <w:szCs w:val="24"/>
          <w:highlight w:val="none"/>
        </w:rPr>
      </w:pPr>
      <w:r>
        <w:rPr>
          <w:rFonts w:hint="eastAsia" w:ascii="宋体" w:hAnsi="宋体"/>
          <w:color w:val="auto"/>
          <w:kern w:val="2"/>
          <w:sz w:val="24"/>
          <w:szCs w:val="24"/>
          <w:highlight w:val="none"/>
        </w:rPr>
        <w:t>具有独立承担民事责任的能力；</w:t>
      </w:r>
    </w:p>
    <w:p w14:paraId="7E271091">
      <w:pPr>
        <w:pStyle w:val="99"/>
        <w:keepNext w:val="0"/>
        <w:keepLines w:val="0"/>
        <w:pageBreakBefore w:val="0"/>
        <w:widowControl w:val="0"/>
        <w:numPr>
          <w:ilvl w:val="0"/>
          <w:numId w:val="5"/>
        </w:numPr>
        <w:kinsoku/>
        <w:wordWrap/>
        <w:overflowPunct/>
        <w:topLinePunct w:val="0"/>
        <w:bidi w:val="0"/>
        <w:adjustRightInd/>
        <w:snapToGrid/>
        <w:spacing w:after="0" w:line="440" w:lineRule="exact"/>
        <w:jc w:val="both"/>
        <w:textAlignment w:val="auto"/>
        <w:rPr>
          <w:rFonts w:ascii="宋体" w:hAnsi="宋体"/>
          <w:color w:val="auto"/>
          <w:kern w:val="2"/>
          <w:sz w:val="24"/>
          <w:szCs w:val="24"/>
          <w:highlight w:val="none"/>
        </w:rPr>
      </w:pPr>
      <w:r>
        <w:rPr>
          <w:rFonts w:hint="eastAsia" w:ascii="宋体" w:hAnsi="宋体"/>
          <w:color w:val="auto"/>
          <w:kern w:val="2"/>
          <w:sz w:val="24"/>
          <w:szCs w:val="24"/>
          <w:highlight w:val="none"/>
        </w:rPr>
        <w:t>具有良好的商业信誉和健全的财务会计制度；</w:t>
      </w:r>
    </w:p>
    <w:p w14:paraId="3BB38303">
      <w:pPr>
        <w:pStyle w:val="99"/>
        <w:keepNext w:val="0"/>
        <w:keepLines w:val="0"/>
        <w:pageBreakBefore w:val="0"/>
        <w:widowControl w:val="0"/>
        <w:numPr>
          <w:ilvl w:val="0"/>
          <w:numId w:val="5"/>
        </w:numPr>
        <w:kinsoku/>
        <w:wordWrap/>
        <w:overflowPunct/>
        <w:topLinePunct w:val="0"/>
        <w:bidi w:val="0"/>
        <w:adjustRightInd/>
        <w:snapToGrid/>
        <w:spacing w:after="0" w:line="440" w:lineRule="exact"/>
        <w:jc w:val="both"/>
        <w:textAlignment w:val="auto"/>
        <w:rPr>
          <w:rFonts w:ascii="宋体" w:hAnsi="宋体"/>
          <w:color w:val="auto"/>
          <w:kern w:val="2"/>
          <w:sz w:val="24"/>
          <w:szCs w:val="24"/>
          <w:highlight w:val="none"/>
        </w:rPr>
      </w:pPr>
      <w:r>
        <w:rPr>
          <w:rFonts w:hint="eastAsia" w:ascii="宋体" w:hAnsi="宋体"/>
          <w:color w:val="auto"/>
          <w:kern w:val="2"/>
          <w:sz w:val="24"/>
          <w:szCs w:val="24"/>
          <w:highlight w:val="none"/>
        </w:rPr>
        <w:t>具有履行合同所必需的设备和专业技术能力；</w:t>
      </w:r>
    </w:p>
    <w:p w14:paraId="70B5D923">
      <w:pPr>
        <w:pStyle w:val="99"/>
        <w:keepNext w:val="0"/>
        <w:keepLines w:val="0"/>
        <w:pageBreakBefore w:val="0"/>
        <w:widowControl w:val="0"/>
        <w:numPr>
          <w:ilvl w:val="0"/>
          <w:numId w:val="5"/>
        </w:numPr>
        <w:kinsoku/>
        <w:wordWrap/>
        <w:overflowPunct/>
        <w:topLinePunct w:val="0"/>
        <w:bidi w:val="0"/>
        <w:adjustRightInd/>
        <w:snapToGrid/>
        <w:spacing w:after="0" w:line="440" w:lineRule="exact"/>
        <w:jc w:val="both"/>
        <w:textAlignment w:val="auto"/>
        <w:rPr>
          <w:rFonts w:ascii="宋体" w:hAnsi="宋体"/>
          <w:color w:val="auto"/>
          <w:kern w:val="2"/>
          <w:sz w:val="24"/>
          <w:szCs w:val="24"/>
          <w:highlight w:val="none"/>
        </w:rPr>
      </w:pPr>
      <w:r>
        <w:rPr>
          <w:rFonts w:hint="eastAsia" w:ascii="宋体" w:hAnsi="宋体"/>
          <w:color w:val="auto"/>
          <w:kern w:val="2"/>
          <w:sz w:val="24"/>
          <w:szCs w:val="24"/>
          <w:highlight w:val="none"/>
        </w:rPr>
        <w:t>有依法缴纳税收和社会保障资金的良好记录；</w:t>
      </w:r>
    </w:p>
    <w:p w14:paraId="0B5805C2">
      <w:pPr>
        <w:pStyle w:val="99"/>
        <w:keepNext w:val="0"/>
        <w:keepLines w:val="0"/>
        <w:pageBreakBefore w:val="0"/>
        <w:widowControl w:val="0"/>
        <w:numPr>
          <w:ilvl w:val="0"/>
          <w:numId w:val="5"/>
        </w:numPr>
        <w:kinsoku/>
        <w:wordWrap/>
        <w:overflowPunct/>
        <w:topLinePunct w:val="0"/>
        <w:bidi w:val="0"/>
        <w:adjustRightInd/>
        <w:snapToGrid/>
        <w:spacing w:after="0" w:line="440" w:lineRule="exact"/>
        <w:jc w:val="both"/>
        <w:textAlignment w:val="auto"/>
        <w:rPr>
          <w:rFonts w:ascii="宋体" w:hAnsi="宋体"/>
          <w:color w:val="auto"/>
          <w:kern w:val="2"/>
          <w:sz w:val="24"/>
          <w:szCs w:val="24"/>
          <w:highlight w:val="none"/>
        </w:rPr>
      </w:pPr>
      <w:r>
        <w:rPr>
          <w:rFonts w:hint="eastAsia" w:ascii="宋体" w:hAnsi="宋体"/>
          <w:color w:val="auto"/>
          <w:kern w:val="2"/>
          <w:sz w:val="24"/>
          <w:szCs w:val="24"/>
          <w:highlight w:val="none"/>
        </w:rPr>
        <w:t>参加政府采购活动前三年内，在经营活动中没有重大违法记录；</w:t>
      </w:r>
    </w:p>
    <w:p w14:paraId="4AE1A8A3">
      <w:pPr>
        <w:pStyle w:val="99"/>
        <w:keepNext w:val="0"/>
        <w:keepLines w:val="0"/>
        <w:pageBreakBefore w:val="0"/>
        <w:widowControl w:val="0"/>
        <w:numPr>
          <w:ilvl w:val="0"/>
          <w:numId w:val="5"/>
        </w:numPr>
        <w:kinsoku/>
        <w:wordWrap/>
        <w:overflowPunct/>
        <w:topLinePunct w:val="0"/>
        <w:bidi w:val="0"/>
        <w:adjustRightInd/>
        <w:snapToGrid/>
        <w:spacing w:after="0" w:line="440" w:lineRule="exact"/>
        <w:jc w:val="both"/>
        <w:textAlignment w:val="auto"/>
        <w:rPr>
          <w:rFonts w:ascii="宋体" w:hAnsi="宋体"/>
          <w:color w:val="auto"/>
          <w:sz w:val="24"/>
          <w:szCs w:val="24"/>
          <w:highlight w:val="none"/>
        </w:rPr>
      </w:pPr>
      <w:r>
        <w:rPr>
          <w:rFonts w:hint="eastAsia" w:ascii="宋体" w:hAnsi="宋体"/>
          <w:color w:val="auto"/>
          <w:kern w:val="2"/>
          <w:sz w:val="24"/>
          <w:szCs w:val="24"/>
          <w:highlight w:val="none"/>
        </w:rPr>
        <w:t>法</w:t>
      </w:r>
      <w:r>
        <w:rPr>
          <w:rFonts w:hint="eastAsia" w:ascii="宋体" w:hAnsi="宋体"/>
          <w:color w:val="auto"/>
          <w:sz w:val="24"/>
          <w:szCs w:val="24"/>
          <w:highlight w:val="none"/>
        </w:rPr>
        <w:t>律、行政法规规定的其他条件。</w:t>
      </w:r>
    </w:p>
    <w:p w14:paraId="4E0F41CB">
      <w:pPr>
        <w:keepNext w:val="0"/>
        <w:keepLines w:val="0"/>
        <w:pageBreakBefore w:val="0"/>
        <w:widowControl w:val="0"/>
        <w:numPr>
          <w:ilvl w:val="0"/>
          <w:numId w:val="4"/>
        </w:numPr>
        <w:tabs>
          <w:tab w:val="left" w:pos="896"/>
        </w:tabs>
        <w:kinsoku/>
        <w:wordWrap/>
        <w:overflowPunct/>
        <w:topLinePunct w:val="0"/>
        <w:bidi w:val="0"/>
        <w:adjustRightInd/>
        <w:snapToGrid/>
        <w:spacing w:after="0" w:line="440" w:lineRule="exact"/>
        <w:ind w:left="262" w:leftChars="119"/>
        <w:jc w:val="both"/>
        <w:textAlignment w:val="auto"/>
        <w:rPr>
          <w:rFonts w:ascii="宋体" w:hAnsi="宋体"/>
          <w:color w:val="auto"/>
          <w:sz w:val="24"/>
          <w:szCs w:val="24"/>
          <w:highlight w:val="none"/>
        </w:rPr>
      </w:pPr>
      <w:r>
        <w:rPr>
          <w:rFonts w:hint="eastAsia" w:ascii="宋体" w:hAnsi="宋体"/>
          <w:color w:val="auto"/>
          <w:sz w:val="24"/>
          <w:szCs w:val="24"/>
          <w:highlight w:val="none"/>
        </w:rPr>
        <w:t>供应商未被列入失信被执行人、重大税收违法失信主体，未被列入政府采购严重违法失信行为记录名单（以递交响应文件当日代理机构查询结果为准）。</w:t>
      </w:r>
    </w:p>
    <w:p w14:paraId="3A5BD4A6">
      <w:pPr>
        <w:keepNext w:val="0"/>
        <w:keepLines w:val="0"/>
        <w:pageBreakBefore w:val="0"/>
        <w:widowControl w:val="0"/>
        <w:numPr>
          <w:ilvl w:val="0"/>
          <w:numId w:val="4"/>
        </w:numPr>
        <w:tabs>
          <w:tab w:val="left" w:pos="896"/>
        </w:tabs>
        <w:kinsoku/>
        <w:wordWrap/>
        <w:overflowPunct/>
        <w:topLinePunct w:val="0"/>
        <w:bidi w:val="0"/>
        <w:adjustRightInd/>
        <w:snapToGrid/>
        <w:spacing w:after="0" w:line="440" w:lineRule="exact"/>
        <w:ind w:left="262" w:leftChars="119"/>
        <w:jc w:val="both"/>
        <w:textAlignment w:val="auto"/>
        <w:rPr>
          <w:rFonts w:ascii="宋体" w:hAnsi="宋体"/>
          <w:color w:val="auto"/>
          <w:sz w:val="24"/>
          <w:szCs w:val="24"/>
          <w:highlight w:val="none"/>
        </w:rPr>
      </w:pPr>
      <w:r>
        <w:rPr>
          <w:rFonts w:hint="eastAsia" w:ascii="宋体" w:hAnsi="宋体"/>
          <w:color w:val="auto"/>
          <w:sz w:val="24"/>
          <w:szCs w:val="24"/>
          <w:highlight w:val="none"/>
        </w:rPr>
        <w:t>单位负责人为同一人或者存在直接控股、管理关系的不同供应商，不得参加本项目同一合同项下的政府采购活动。为本采购项目提供整体设计、规范编制或者项目管理、监理、检测等服务的，不得再参加本项目的其他招标采购活动。</w:t>
      </w:r>
    </w:p>
    <w:p w14:paraId="6FF9BE37">
      <w:pPr>
        <w:keepNext w:val="0"/>
        <w:keepLines w:val="0"/>
        <w:pageBreakBefore w:val="0"/>
        <w:widowControl w:val="0"/>
        <w:numPr>
          <w:ilvl w:val="0"/>
          <w:numId w:val="4"/>
        </w:numPr>
        <w:tabs>
          <w:tab w:val="left" w:pos="896"/>
        </w:tabs>
        <w:kinsoku/>
        <w:wordWrap/>
        <w:overflowPunct/>
        <w:topLinePunct w:val="0"/>
        <w:bidi w:val="0"/>
        <w:adjustRightInd/>
        <w:snapToGrid/>
        <w:spacing w:after="0" w:line="440" w:lineRule="exact"/>
        <w:ind w:left="262" w:leftChars="119"/>
        <w:jc w:val="both"/>
        <w:textAlignment w:val="auto"/>
        <w:rPr>
          <w:rFonts w:ascii="宋体" w:hAnsi="宋体"/>
          <w:color w:val="auto"/>
          <w:sz w:val="24"/>
          <w:szCs w:val="24"/>
          <w:highlight w:val="none"/>
        </w:rPr>
      </w:pPr>
      <w:r>
        <w:rPr>
          <w:rFonts w:hint="eastAsia" w:ascii="宋体" w:hAnsi="宋体"/>
          <w:color w:val="auto"/>
          <w:sz w:val="24"/>
          <w:szCs w:val="24"/>
          <w:highlight w:val="none"/>
        </w:rPr>
        <w:t>本项目的特定资格要求：</w:t>
      </w:r>
      <w:r>
        <w:rPr>
          <w:rFonts w:hint="eastAsia" w:ascii="宋体" w:hAnsi="宋体"/>
          <w:b/>
          <w:bCs/>
          <w:color w:val="auto"/>
          <w:sz w:val="24"/>
          <w:szCs w:val="24"/>
          <w:highlight w:val="none"/>
          <w:u w:val="single"/>
        </w:rPr>
        <w:t>投标人须具备合格有效的《劳务派遣经营许可证》</w:t>
      </w:r>
      <w:r>
        <w:rPr>
          <w:rFonts w:hint="eastAsia" w:ascii="宋体" w:hAnsi="宋体"/>
          <w:color w:val="auto"/>
          <w:sz w:val="24"/>
          <w:szCs w:val="24"/>
          <w:highlight w:val="none"/>
        </w:rPr>
        <w:t>。</w:t>
      </w:r>
    </w:p>
    <w:p w14:paraId="4AC0AF2A">
      <w:pPr>
        <w:keepNext w:val="0"/>
        <w:keepLines w:val="0"/>
        <w:pageBreakBefore w:val="0"/>
        <w:widowControl w:val="0"/>
        <w:numPr>
          <w:ilvl w:val="0"/>
          <w:numId w:val="2"/>
        </w:numPr>
        <w:kinsoku/>
        <w:wordWrap/>
        <w:overflowPunct/>
        <w:topLinePunct w:val="0"/>
        <w:bidi w:val="0"/>
        <w:adjustRightInd/>
        <w:snapToGrid/>
        <w:spacing w:after="0" w:line="440" w:lineRule="exact"/>
        <w:ind w:left="490" w:hanging="490"/>
        <w:jc w:val="both"/>
        <w:textAlignment w:val="auto"/>
        <w:rPr>
          <w:rFonts w:ascii="宋体" w:hAnsi="宋体" w:cs="宋体"/>
          <w:b/>
          <w:color w:val="auto"/>
          <w:sz w:val="24"/>
          <w:szCs w:val="24"/>
          <w:highlight w:val="none"/>
        </w:rPr>
      </w:pPr>
      <w:r>
        <w:rPr>
          <w:rFonts w:hint="eastAsia" w:ascii="宋体" w:hAnsi="宋体" w:cs="宋体"/>
          <w:b/>
          <w:color w:val="auto"/>
          <w:sz w:val="24"/>
          <w:szCs w:val="24"/>
          <w:highlight w:val="none"/>
          <w:lang w:val="zh-CN"/>
        </w:rPr>
        <w:t>获取采购文件</w:t>
      </w:r>
      <w:r>
        <w:rPr>
          <w:rFonts w:hint="eastAsia" w:ascii="宋体" w:hAnsi="宋体" w:cs="宋体"/>
          <w:b/>
          <w:color w:val="auto"/>
          <w:sz w:val="24"/>
          <w:szCs w:val="24"/>
          <w:highlight w:val="none"/>
        </w:rPr>
        <w:t>：</w:t>
      </w:r>
    </w:p>
    <w:p w14:paraId="699C8985">
      <w:pPr>
        <w:keepNext w:val="0"/>
        <w:keepLines w:val="0"/>
        <w:pageBreakBefore w:val="0"/>
        <w:widowControl w:val="0"/>
        <w:numPr>
          <w:ilvl w:val="0"/>
          <w:numId w:val="6"/>
        </w:numPr>
        <w:kinsoku/>
        <w:wordWrap w:val="0"/>
        <w:overflowPunct/>
        <w:topLinePunct w:val="0"/>
        <w:autoSpaceDE w:val="0"/>
        <w:autoSpaceDN w:val="0"/>
        <w:bidi w:val="0"/>
        <w:adjustRightInd/>
        <w:snapToGrid/>
        <w:spacing w:after="0" w:line="440" w:lineRule="exact"/>
        <w:ind w:left="709" w:hanging="425"/>
        <w:jc w:val="both"/>
        <w:textAlignment w:val="auto"/>
        <w:rPr>
          <w:rFonts w:ascii="宋体" w:hAnsi="宋体"/>
          <w:color w:val="auto"/>
          <w:kern w:val="2"/>
          <w:sz w:val="24"/>
          <w:szCs w:val="24"/>
          <w:highlight w:val="none"/>
        </w:rPr>
      </w:pPr>
      <w:r>
        <w:rPr>
          <w:rFonts w:hint="eastAsia" w:ascii="宋体" w:hAnsi="宋体"/>
          <w:color w:val="auto"/>
          <w:kern w:val="2"/>
          <w:sz w:val="24"/>
          <w:szCs w:val="24"/>
          <w:highlight w:val="none"/>
          <w:lang w:val="zh-CN"/>
        </w:rPr>
        <w:t>拟参加本项目的供应商须在阳光招采电子交易平台</w:t>
      </w:r>
      <w:r>
        <w:rPr>
          <w:rFonts w:hint="eastAsia" w:ascii="宋体" w:hAnsi="宋体"/>
          <w:color w:val="auto"/>
          <w:sz w:val="24"/>
          <w:szCs w:val="24"/>
          <w:highlight w:val="none"/>
        </w:rPr>
        <w:t>免费注册（网址：</w:t>
      </w:r>
      <w:r>
        <w:rPr>
          <w:color w:val="auto"/>
          <w:sz w:val="24"/>
          <w:szCs w:val="24"/>
          <w:highlight w:val="none"/>
        </w:rPr>
        <w:fldChar w:fldCharType="begin"/>
      </w:r>
      <w:r>
        <w:rPr>
          <w:color w:val="auto"/>
          <w:sz w:val="24"/>
          <w:szCs w:val="24"/>
          <w:highlight w:val="none"/>
        </w:rPr>
        <w:instrText xml:space="preserve"> HYPERLINK "https://www.yangguangzhaocai.com" </w:instrText>
      </w:r>
      <w:r>
        <w:rPr>
          <w:color w:val="auto"/>
          <w:sz w:val="24"/>
          <w:szCs w:val="24"/>
          <w:highlight w:val="none"/>
        </w:rPr>
        <w:fldChar w:fldCharType="separate"/>
      </w:r>
      <w:r>
        <w:rPr>
          <w:rStyle w:val="44"/>
          <w:rFonts w:hint="eastAsia" w:ascii="宋体" w:hAnsi="宋体"/>
          <w:color w:val="auto"/>
          <w:sz w:val="24"/>
          <w:szCs w:val="24"/>
          <w:highlight w:val="none"/>
        </w:rPr>
        <w:t>https://www.yangguangzhaocai.com</w:t>
      </w:r>
      <w:r>
        <w:rPr>
          <w:rStyle w:val="44"/>
          <w:rFonts w:hint="eastAsia" w:ascii="宋体" w:hAnsi="宋体"/>
          <w:color w:val="auto"/>
          <w:sz w:val="24"/>
          <w:szCs w:val="24"/>
          <w:highlight w:val="none"/>
        </w:rPr>
        <w:fldChar w:fldCharType="end"/>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---【新用户注册】，相关操作帮助详见：帮助中心---</w:t>
      </w:r>
      <w:r>
        <w:rPr>
          <w:rFonts w:ascii="宋体" w:hAnsi="宋体"/>
          <w:color w:val="auto"/>
          <w:sz w:val="24"/>
          <w:szCs w:val="24"/>
          <w:highlight w:val="none"/>
        </w:rPr>
        <w:t xml:space="preserve"> </w:t>
      </w:r>
      <w:r>
        <w:rPr>
          <w:rFonts w:hint="eastAsia" w:ascii="宋体" w:hAnsi="宋体"/>
          <w:color w:val="auto"/>
          <w:sz w:val="24"/>
          <w:szCs w:val="24"/>
          <w:highlight w:val="none"/>
        </w:rPr>
        <w:t>投标人注册操作指南）</w:t>
      </w:r>
      <w:r>
        <w:rPr>
          <w:rFonts w:hint="eastAsia" w:ascii="宋体" w:hAnsi="宋体"/>
          <w:color w:val="auto"/>
          <w:kern w:val="2"/>
          <w:sz w:val="24"/>
          <w:szCs w:val="24"/>
          <w:highlight w:val="none"/>
        </w:rPr>
        <w:t>；</w:t>
      </w:r>
    </w:p>
    <w:p w14:paraId="3554AD60">
      <w:pPr>
        <w:keepNext w:val="0"/>
        <w:keepLines w:val="0"/>
        <w:pageBreakBefore w:val="0"/>
        <w:widowControl w:val="0"/>
        <w:numPr>
          <w:ilvl w:val="0"/>
          <w:numId w:val="6"/>
        </w:numPr>
        <w:kinsoku/>
        <w:wordWrap/>
        <w:overflowPunct/>
        <w:topLinePunct w:val="0"/>
        <w:autoSpaceDE w:val="0"/>
        <w:autoSpaceDN w:val="0"/>
        <w:bidi w:val="0"/>
        <w:adjustRightInd/>
        <w:snapToGrid/>
        <w:spacing w:after="0" w:line="440" w:lineRule="exact"/>
        <w:ind w:left="709" w:hanging="425"/>
        <w:jc w:val="both"/>
        <w:textAlignment w:val="auto"/>
        <w:rPr>
          <w:rFonts w:ascii="宋体" w:hAnsi="宋体"/>
          <w:color w:val="auto"/>
          <w:kern w:val="2"/>
          <w:sz w:val="24"/>
          <w:szCs w:val="24"/>
          <w:highlight w:val="none"/>
        </w:rPr>
      </w:pPr>
      <w:r>
        <w:rPr>
          <w:rFonts w:hint="eastAsia" w:ascii="宋体" w:hAnsi="宋体"/>
          <w:color w:val="auto"/>
          <w:sz w:val="24"/>
          <w:szCs w:val="24"/>
          <w:highlight w:val="none"/>
          <w:lang w:val="zh-CN"/>
        </w:rPr>
        <w:t>注册完成后，请于</w:t>
      </w:r>
      <w:r>
        <w:rPr>
          <w:rFonts w:hint="eastAsia" w:ascii="宋体" w:hAnsi="宋体"/>
          <w:color w:val="auto"/>
          <w:sz w:val="24"/>
          <w:szCs w:val="24"/>
          <w:highlight w:val="none"/>
          <w:u w:val="single"/>
          <w:lang w:val="en-US" w:eastAsia="zh-CN"/>
        </w:rPr>
        <w:t>2025</w:t>
      </w:r>
      <w:r>
        <w:rPr>
          <w:rFonts w:hint="eastAsia" w:ascii="宋体" w:hAnsi="宋体"/>
          <w:color w:val="auto"/>
          <w:sz w:val="24"/>
          <w:szCs w:val="24"/>
          <w:highlight w:val="none"/>
          <w:lang w:val="zh-CN"/>
        </w:rPr>
        <w:t>年</w:t>
      </w:r>
      <w:r>
        <w:rPr>
          <w:rFonts w:hint="eastAsia" w:ascii="宋体" w:hAnsi="宋体"/>
          <w:color w:val="auto"/>
          <w:sz w:val="24"/>
          <w:szCs w:val="24"/>
          <w:highlight w:val="none"/>
          <w:u w:val="single"/>
          <w:lang w:val="en-US" w:eastAsia="zh-CN"/>
        </w:rPr>
        <w:t>11</w:t>
      </w:r>
      <w:r>
        <w:rPr>
          <w:rFonts w:hint="eastAsia" w:ascii="宋体" w:hAnsi="宋体"/>
          <w:color w:val="auto"/>
          <w:sz w:val="24"/>
          <w:szCs w:val="24"/>
          <w:highlight w:val="none"/>
          <w:lang w:val="zh-CN"/>
        </w:rPr>
        <w:t>月</w:t>
      </w:r>
      <w:r>
        <w:rPr>
          <w:rFonts w:hint="eastAsia" w:ascii="宋体" w:hAnsi="宋体"/>
          <w:color w:val="auto"/>
          <w:sz w:val="24"/>
          <w:szCs w:val="24"/>
          <w:highlight w:val="none"/>
          <w:u w:val="single"/>
          <w:lang w:val="en-US" w:eastAsia="zh-CN"/>
        </w:rPr>
        <w:t>01</w:t>
      </w:r>
      <w:r>
        <w:rPr>
          <w:rFonts w:hint="eastAsia" w:ascii="宋体" w:hAnsi="宋体"/>
          <w:color w:val="auto"/>
          <w:sz w:val="24"/>
          <w:szCs w:val="24"/>
          <w:highlight w:val="none"/>
          <w:lang w:val="zh-CN"/>
        </w:rPr>
        <w:t>日至</w:t>
      </w:r>
      <w:r>
        <w:rPr>
          <w:rFonts w:hint="eastAsia" w:ascii="宋体" w:hAnsi="宋体"/>
          <w:color w:val="auto"/>
          <w:sz w:val="24"/>
          <w:szCs w:val="24"/>
          <w:highlight w:val="none"/>
          <w:u w:val="single"/>
          <w:lang w:val="en-US" w:eastAsia="zh-CN"/>
        </w:rPr>
        <w:t>2025</w:t>
      </w:r>
      <w:r>
        <w:rPr>
          <w:rFonts w:hint="eastAsia" w:ascii="宋体" w:hAnsi="宋体"/>
          <w:color w:val="auto"/>
          <w:sz w:val="24"/>
          <w:szCs w:val="24"/>
          <w:highlight w:val="none"/>
          <w:lang w:val="zh-CN"/>
        </w:rPr>
        <w:t>年</w:t>
      </w:r>
      <w:r>
        <w:rPr>
          <w:rFonts w:hint="eastAsia" w:ascii="宋体" w:hAnsi="宋体"/>
          <w:color w:val="auto"/>
          <w:sz w:val="24"/>
          <w:szCs w:val="24"/>
          <w:highlight w:val="none"/>
          <w:u w:val="single"/>
          <w:lang w:val="en-US" w:eastAsia="zh-CN"/>
        </w:rPr>
        <w:t>11</w:t>
      </w:r>
      <w:r>
        <w:rPr>
          <w:rFonts w:hint="eastAsia" w:ascii="宋体" w:hAnsi="宋体"/>
          <w:color w:val="auto"/>
          <w:sz w:val="24"/>
          <w:szCs w:val="24"/>
          <w:highlight w:val="none"/>
          <w:lang w:val="zh-CN"/>
        </w:rPr>
        <w:t>月</w:t>
      </w:r>
      <w:r>
        <w:rPr>
          <w:rFonts w:hint="eastAsia" w:ascii="宋体" w:hAnsi="宋体"/>
          <w:color w:val="auto"/>
          <w:sz w:val="24"/>
          <w:szCs w:val="24"/>
          <w:highlight w:val="none"/>
          <w:u w:val="single"/>
          <w:lang w:val="en-US" w:eastAsia="zh-CN"/>
        </w:rPr>
        <w:t>7</w:t>
      </w:r>
      <w:r>
        <w:rPr>
          <w:rFonts w:hint="eastAsia" w:ascii="宋体" w:hAnsi="宋体"/>
          <w:color w:val="auto"/>
          <w:sz w:val="24"/>
          <w:szCs w:val="24"/>
          <w:highlight w:val="none"/>
          <w:lang w:val="zh-CN"/>
        </w:rPr>
        <w:t>日17:00时止（北京时间）</w:t>
      </w:r>
      <w:r>
        <w:rPr>
          <w:rFonts w:hint="eastAsia" w:ascii="宋体" w:hAnsi="宋体"/>
          <w:b/>
          <w:i/>
          <w:color w:val="auto"/>
          <w:sz w:val="24"/>
          <w:szCs w:val="24"/>
          <w:highlight w:val="none"/>
          <w:lang w:val="en-US" w:eastAsia="zh-CN"/>
        </w:rPr>
        <w:t>.</w:t>
      </w:r>
      <w:r>
        <w:rPr>
          <w:rFonts w:hint="eastAsia" w:ascii="宋体" w:hAnsi="宋体"/>
          <w:color w:val="auto"/>
          <w:kern w:val="2"/>
          <w:sz w:val="24"/>
          <w:szCs w:val="24"/>
          <w:highlight w:val="none"/>
          <w:lang w:val="zh-CN"/>
        </w:rPr>
        <w:t>登录电子交易平台</w:t>
      </w:r>
      <w:r>
        <w:rPr>
          <w:rFonts w:hint="eastAsia" w:ascii="宋体" w:hAnsi="宋体"/>
          <w:color w:val="auto"/>
          <w:sz w:val="24"/>
          <w:szCs w:val="24"/>
          <w:highlight w:val="none"/>
          <w:lang w:val="zh-CN"/>
        </w:rPr>
        <w:t>，点击【投标人】，在【公告信息】</w:t>
      </w:r>
      <w:r>
        <w:rPr>
          <w:rFonts w:hint="eastAsia" w:ascii="宋体" w:hAnsi="宋体"/>
          <w:color w:val="auto"/>
          <w:sz w:val="24"/>
          <w:szCs w:val="24"/>
          <w:highlight w:val="none"/>
        </w:rPr>
        <w:t>---</w:t>
      </w:r>
      <w:r>
        <w:rPr>
          <w:rFonts w:hint="eastAsia" w:ascii="宋体" w:hAnsi="宋体"/>
          <w:color w:val="auto"/>
          <w:sz w:val="24"/>
          <w:szCs w:val="24"/>
          <w:highlight w:val="none"/>
          <w:lang w:val="zh-CN"/>
        </w:rPr>
        <w:t>【采购公告】栏下载拟投标段采购文件（拟投多标段的，应按标段分别下载），</w:t>
      </w:r>
      <w:r>
        <w:rPr>
          <w:rFonts w:hint="eastAsia" w:ascii="宋体" w:hAnsi="宋体"/>
          <w:color w:val="auto"/>
          <w:sz w:val="24"/>
          <w:szCs w:val="24"/>
          <w:highlight w:val="none"/>
          <w:lang w:val="en-US" w:eastAsia="zh-CN"/>
        </w:rPr>
        <w:t>300</w:t>
      </w:r>
      <w:r>
        <w:rPr>
          <w:rFonts w:hint="eastAsia" w:ascii="宋体" w:hAnsi="宋体"/>
          <w:color w:val="auto"/>
          <w:sz w:val="24"/>
          <w:szCs w:val="24"/>
          <w:highlight w:val="none"/>
          <w:lang w:val="zh-CN"/>
        </w:rPr>
        <w:t>元/份（包），售后不退。</w:t>
      </w:r>
      <w:r>
        <w:rPr>
          <w:rFonts w:hint="eastAsia" w:ascii="宋体" w:hAnsi="宋体"/>
          <w:color w:val="auto"/>
          <w:sz w:val="24"/>
          <w:szCs w:val="24"/>
          <w:highlight w:val="none"/>
        </w:rPr>
        <w:t>联合体参与响应的，由牵头人注册</w:t>
      </w:r>
      <w:r>
        <w:rPr>
          <w:rFonts w:ascii="宋体" w:hAnsi="宋体"/>
          <w:color w:val="auto"/>
          <w:sz w:val="24"/>
          <w:szCs w:val="24"/>
          <w:highlight w:val="none"/>
        </w:rPr>
        <w:t>及</w:t>
      </w:r>
      <w:r>
        <w:rPr>
          <w:rFonts w:hint="eastAsia" w:ascii="宋体" w:hAnsi="宋体"/>
          <w:color w:val="auto"/>
          <w:sz w:val="24"/>
          <w:szCs w:val="24"/>
          <w:highlight w:val="none"/>
        </w:rPr>
        <w:t>下载采购文件。</w:t>
      </w:r>
      <w:r>
        <w:rPr>
          <w:rFonts w:hint="eastAsia" w:ascii="宋体" w:hAnsi="宋体"/>
          <w:color w:val="auto"/>
          <w:sz w:val="24"/>
          <w:szCs w:val="24"/>
          <w:highlight w:val="none"/>
          <w:lang w:val="zh-CN"/>
        </w:rPr>
        <w:t>未按规定获取采购文件的，将无法提交响应文件</w:t>
      </w:r>
      <w:r>
        <w:rPr>
          <w:rFonts w:hint="eastAsia" w:ascii="宋体" w:hAnsi="宋体"/>
          <w:color w:val="auto"/>
          <w:sz w:val="24"/>
          <w:szCs w:val="24"/>
          <w:highlight w:val="none"/>
        </w:rPr>
        <w:t>；</w:t>
      </w:r>
    </w:p>
    <w:p w14:paraId="0C8C1199">
      <w:pPr>
        <w:keepNext w:val="0"/>
        <w:keepLines w:val="0"/>
        <w:pageBreakBefore w:val="0"/>
        <w:widowControl w:val="0"/>
        <w:numPr>
          <w:ilvl w:val="0"/>
          <w:numId w:val="6"/>
        </w:numPr>
        <w:kinsoku/>
        <w:wordWrap/>
        <w:overflowPunct/>
        <w:topLinePunct w:val="0"/>
        <w:autoSpaceDE w:val="0"/>
        <w:autoSpaceDN w:val="0"/>
        <w:bidi w:val="0"/>
        <w:adjustRightInd/>
        <w:snapToGrid/>
        <w:spacing w:after="0" w:line="440" w:lineRule="exact"/>
        <w:ind w:left="709" w:hanging="425"/>
        <w:jc w:val="both"/>
        <w:textAlignment w:val="auto"/>
        <w:rPr>
          <w:rFonts w:ascii="宋体" w:hAnsi="宋体"/>
          <w:color w:val="auto"/>
          <w:kern w:val="2"/>
          <w:sz w:val="24"/>
          <w:szCs w:val="24"/>
          <w:highlight w:val="none"/>
        </w:rPr>
      </w:pPr>
      <w:r>
        <w:rPr>
          <w:rFonts w:hint="eastAsia" w:ascii="宋体" w:hAnsi="宋体"/>
          <w:color w:val="auto"/>
          <w:kern w:val="2"/>
          <w:sz w:val="24"/>
          <w:szCs w:val="24"/>
          <w:highlight w:val="none"/>
          <w:lang w:val="zh-CN"/>
        </w:rPr>
        <w:t>本项目为</w:t>
      </w:r>
      <w:r>
        <w:rPr>
          <w:rFonts w:hint="eastAsia" w:ascii="宋体" w:hAnsi="宋体"/>
          <w:b/>
          <w:bCs/>
          <w:color w:val="auto"/>
          <w:kern w:val="2"/>
          <w:sz w:val="24"/>
          <w:szCs w:val="24"/>
          <w:highlight w:val="none"/>
          <w:lang w:val="zh-CN"/>
        </w:rPr>
        <w:t>全流程电子标</w:t>
      </w:r>
      <w:r>
        <w:rPr>
          <w:rFonts w:hint="eastAsia" w:ascii="宋体" w:hAnsi="宋体"/>
          <w:color w:val="auto"/>
          <w:kern w:val="2"/>
          <w:sz w:val="24"/>
          <w:szCs w:val="24"/>
          <w:highlight w:val="none"/>
        </w:rPr>
        <w:t>，供应商须办理CA数字证书（</w:t>
      </w:r>
      <w:r>
        <w:rPr>
          <w:rFonts w:hint="eastAsia" w:ascii="宋体" w:hAnsi="宋体"/>
          <w:color w:val="auto"/>
          <w:sz w:val="24"/>
          <w:szCs w:val="24"/>
          <w:highlight w:val="none"/>
        </w:rPr>
        <w:t>相关操作帮助</w:t>
      </w:r>
      <w:r>
        <w:rPr>
          <w:rFonts w:ascii="宋体" w:hAnsi="宋体"/>
          <w:color w:val="auto"/>
          <w:kern w:val="2"/>
          <w:sz w:val="24"/>
          <w:szCs w:val="24"/>
          <w:highlight w:val="none"/>
        </w:rPr>
        <w:t>详见</w:t>
      </w:r>
      <w:r>
        <w:rPr>
          <w:rFonts w:hint="eastAsia" w:ascii="宋体" w:hAnsi="宋体"/>
          <w:color w:val="auto"/>
          <w:kern w:val="2"/>
          <w:sz w:val="24"/>
          <w:szCs w:val="24"/>
          <w:highlight w:val="none"/>
        </w:rPr>
        <w:t>：</w:t>
      </w:r>
      <w:r>
        <w:rPr>
          <w:rFonts w:hint="eastAsia" w:ascii="宋体" w:hAnsi="宋体"/>
          <w:color w:val="auto"/>
          <w:sz w:val="24"/>
          <w:szCs w:val="24"/>
          <w:highlight w:val="none"/>
        </w:rPr>
        <w:t>帮助中心---CA数字证书办理指南</w:t>
      </w:r>
      <w:r>
        <w:rPr>
          <w:rFonts w:ascii="宋体" w:hAnsi="宋体"/>
          <w:color w:val="auto"/>
          <w:kern w:val="2"/>
          <w:sz w:val="24"/>
          <w:szCs w:val="24"/>
          <w:highlight w:val="none"/>
        </w:rPr>
        <w:t>，CA办理咨询电话：027-87272733）；</w:t>
      </w:r>
    </w:p>
    <w:p w14:paraId="748BC643">
      <w:pPr>
        <w:keepNext w:val="0"/>
        <w:keepLines w:val="0"/>
        <w:pageBreakBefore w:val="0"/>
        <w:widowControl w:val="0"/>
        <w:numPr>
          <w:ilvl w:val="0"/>
          <w:numId w:val="6"/>
        </w:numPr>
        <w:kinsoku/>
        <w:wordWrap/>
        <w:overflowPunct/>
        <w:topLinePunct w:val="0"/>
        <w:autoSpaceDE w:val="0"/>
        <w:autoSpaceDN w:val="0"/>
        <w:bidi w:val="0"/>
        <w:adjustRightInd/>
        <w:snapToGrid/>
        <w:spacing w:after="0" w:line="440" w:lineRule="exact"/>
        <w:ind w:left="709" w:hanging="425"/>
        <w:jc w:val="both"/>
        <w:textAlignment w:val="auto"/>
        <w:rPr>
          <w:rFonts w:ascii="宋体" w:hAnsi="宋体"/>
          <w:color w:val="auto"/>
          <w:kern w:val="2"/>
          <w:sz w:val="24"/>
          <w:szCs w:val="24"/>
          <w:highlight w:val="none"/>
          <w:lang w:val="zh-CN"/>
        </w:rPr>
      </w:pPr>
      <w:r>
        <w:rPr>
          <w:rFonts w:hint="eastAsia" w:ascii="宋体" w:hAnsi="宋体"/>
          <w:color w:val="auto"/>
          <w:kern w:val="2"/>
          <w:sz w:val="24"/>
          <w:szCs w:val="24"/>
          <w:highlight w:val="none"/>
          <w:lang w:val="zh-CN"/>
        </w:rPr>
        <w:t>在电子交易平台遇到的各类操作问题（登录、注册、文件下载、制作及上传标书等问题），请拨打技术支持电话010-21362559（工作日:08:00～18:00；节假日:09:00～12:00，14:00～18:00)；</w:t>
      </w:r>
    </w:p>
    <w:p w14:paraId="3141F492">
      <w:pPr>
        <w:keepNext w:val="0"/>
        <w:keepLines w:val="0"/>
        <w:pageBreakBefore w:val="0"/>
        <w:widowControl w:val="0"/>
        <w:numPr>
          <w:ilvl w:val="0"/>
          <w:numId w:val="6"/>
        </w:numPr>
        <w:kinsoku/>
        <w:wordWrap/>
        <w:overflowPunct/>
        <w:topLinePunct w:val="0"/>
        <w:autoSpaceDE w:val="0"/>
        <w:autoSpaceDN w:val="0"/>
        <w:bidi w:val="0"/>
        <w:adjustRightInd/>
        <w:snapToGrid/>
        <w:spacing w:after="0" w:line="440" w:lineRule="exact"/>
        <w:ind w:left="709" w:hanging="425"/>
        <w:jc w:val="both"/>
        <w:textAlignment w:val="auto"/>
        <w:rPr>
          <w:rFonts w:ascii="宋体" w:hAnsi="宋体"/>
          <w:color w:val="auto"/>
          <w:kern w:val="2"/>
          <w:sz w:val="24"/>
          <w:szCs w:val="24"/>
          <w:highlight w:val="none"/>
          <w:lang w:val="zh-CN"/>
        </w:rPr>
      </w:pPr>
      <w:r>
        <w:rPr>
          <w:rFonts w:hint="eastAsia" w:ascii="宋体" w:hAnsi="宋体"/>
          <w:color w:val="auto"/>
          <w:kern w:val="2"/>
          <w:sz w:val="24"/>
          <w:szCs w:val="24"/>
          <w:highlight w:val="none"/>
          <w:lang w:val="zh-CN"/>
        </w:rPr>
        <w:t>企业注册信息审核进度问题咨询电话：027-87272708；</w:t>
      </w:r>
    </w:p>
    <w:p w14:paraId="1EF61F86">
      <w:pPr>
        <w:keepNext w:val="0"/>
        <w:keepLines w:val="0"/>
        <w:pageBreakBefore w:val="0"/>
        <w:widowControl w:val="0"/>
        <w:numPr>
          <w:ilvl w:val="0"/>
          <w:numId w:val="6"/>
        </w:numPr>
        <w:kinsoku/>
        <w:wordWrap/>
        <w:overflowPunct/>
        <w:topLinePunct w:val="0"/>
        <w:autoSpaceDE w:val="0"/>
        <w:autoSpaceDN w:val="0"/>
        <w:bidi w:val="0"/>
        <w:adjustRightInd/>
        <w:snapToGrid/>
        <w:spacing w:after="0" w:line="440" w:lineRule="exact"/>
        <w:ind w:left="709" w:hanging="425"/>
        <w:jc w:val="both"/>
        <w:textAlignment w:val="auto"/>
        <w:rPr>
          <w:rFonts w:ascii="宋体" w:hAnsi="宋体"/>
          <w:color w:val="auto"/>
          <w:kern w:val="2"/>
          <w:sz w:val="24"/>
          <w:szCs w:val="24"/>
          <w:highlight w:val="none"/>
        </w:rPr>
      </w:pPr>
      <w:r>
        <w:rPr>
          <w:rFonts w:hint="eastAsia" w:ascii="宋体" w:hAnsi="宋体"/>
          <w:color w:val="auto"/>
          <w:kern w:val="2"/>
          <w:sz w:val="24"/>
          <w:szCs w:val="24"/>
          <w:highlight w:val="none"/>
          <w:lang w:val="zh-CN"/>
        </w:rPr>
        <w:t>项目具体业务问题请向代理机构联系人咨询</w:t>
      </w:r>
      <w:r>
        <w:rPr>
          <w:rFonts w:hint="eastAsia" w:ascii="宋体" w:hAnsi="宋体"/>
          <w:color w:val="auto"/>
          <w:sz w:val="24"/>
          <w:szCs w:val="24"/>
          <w:highlight w:val="none"/>
        </w:rPr>
        <w:t>（联系方式详见本公告第七条）。</w:t>
      </w:r>
    </w:p>
    <w:p w14:paraId="10411B7F">
      <w:pPr>
        <w:keepNext w:val="0"/>
        <w:keepLines w:val="0"/>
        <w:pageBreakBefore w:val="0"/>
        <w:widowControl w:val="0"/>
        <w:numPr>
          <w:ilvl w:val="0"/>
          <w:numId w:val="2"/>
        </w:numPr>
        <w:kinsoku/>
        <w:wordWrap/>
        <w:overflowPunct/>
        <w:topLinePunct w:val="0"/>
        <w:bidi w:val="0"/>
        <w:adjustRightInd/>
        <w:snapToGrid/>
        <w:spacing w:after="0" w:line="440" w:lineRule="exact"/>
        <w:ind w:left="490" w:hanging="490"/>
        <w:jc w:val="both"/>
        <w:textAlignment w:val="auto"/>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递交响应文件截止时间、开启时间和地点：</w:t>
      </w:r>
    </w:p>
    <w:p w14:paraId="2CC87F3A">
      <w:pPr>
        <w:keepNext w:val="0"/>
        <w:keepLines w:val="0"/>
        <w:pageBreakBefore w:val="0"/>
        <w:widowControl w:val="0"/>
        <w:numPr>
          <w:ilvl w:val="0"/>
          <w:numId w:val="7"/>
        </w:numPr>
        <w:kinsoku/>
        <w:wordWrap/>
        <w:overflowPunct/>
        <w:topLinePunct w:val="0"/>
        <w:bidi w:val="0"/>
        <w:adjustRightInd/>
        <w:snapToGrid/>
        <w:spacing w:after="0" w:line="440" w:lineRule="exact"/>
        <w:jc w:val="both"/>
        <w:textAlignment w:val="auto"/>
        <w:rPr>
          <w:rFonts w:ascii="宋体" w:hAnsi="宋体"/>
          <w:color w:val="auto"/>
          <w:kern w:val="2"/>
          <w:sz w:val="24"/>
          <w:szCs w:val="24"/>
          <w:highlight w:val="none"/>
          <w:lang w:val="zh-CN"/>
        </w:rPr>
      </w:pPr>
      <w:r>
        <w:rPr>
          <w:rFonts w:hint="eastAsia" w:ascii="宋体" w:hAnsi="宋体" w:cs="宋体"/>
          <w:color w:val="auto"/>
          <w:kern w:val="2"/>
          <w:sz w:val="24"/>
          <w:szCs w:val="24"/>
          <w:highlight w:val="none"/>
        </w:rPr>
        <w:t>响应文件递交截止时间及开启时间</w:t>
      </w:r>
      <w:r>
        <w:rPr>
          <w:rFonts w:hint="eastAsia" w:ascii="宋体" w:hAnsi="宋体"/>
          <w:color w:val="auto"/>
          <w:kern w:val="2"/>
          <w:sz w:val="24"/>
          <w:szCs w:val="24"/>
          <w:highlight w:val="none"/>
          <w:lang w:val="zh-CN"/>
        </w:rPr>
        <w:t>：</w:t>
      </w:r>
      <w:r>
        <w:rPr>
          <w:rFonts w:hint="eastAsia" w:ascii="宋体" w:hAnsi="宋体"/>
          <w:color w:val="auto"/>
          <w:kern w:val="2"/>
          <w:sz w:val="24"/>
          <w:szCs w:val="24"/>
          <w:highlight w:val="none"/>
          <w:u w:val="single"/>
          <w:lang w:val="en-US" w:eastAsia="zh-CN"/>
        </w:rPr>
        <w:t>2025</w:t>
      </w:r>
      <w:r>
        <w:rPr>
          <w:rFonts w:hint="eastAsia" w:ascii="宋体" w:hAnsi="宋体"/>
          <w:color w:val="auto"/>
          <w:kern w:val="2"/>
          <w:sz w:val="24"/>
          <w:szCs w:val="24"/>
          <w:highlight w:val="none"/>
          <w:lang w:val="zh-CN"/>
        </w:rPr>
        <w:t>年</w:t>
      </w:r>
      <w:r>
        <w:rPr>
          <w:rFonts w:hint="eastAsia" w:ascii="宋体" w:hAnsi="宋体"/>
          <w:color w:val="auto"/>
          <w:kern w:val="2"/>
          <w:sz w:val="24"/>
          <w:szCs w:val="24"/>
          <w:highlight w:val="none"/>
          <w:u w:val="single"/>
          <w:lang w:val="en-US" w:eastAsia="zh-CN"/>
        </w:rPr>
        <w:t>11</w:t>
      </w:r>
      <w:r>
        <w:rPr>
          <w:rFonts w:hint="eastAsia" w:ascii="宋体" w:hAnsi="宋体"/>
          <w:color w:val="auto"/>
          <w:kern w:val="2"/>
          <w:sz w:val="24"/>
          <w:szCs w:val="24"/>
          <w:highlight w:val="none"/>
        </w:rPr>
        <w:t>月</w:t>
      </w:r>
      <w:r>
        <w:rPr>
          <w:rFonts w:hint="eastAsia" w:ascii="宋体" w:hAnsi="宋体"/>
          <w:color w:val="auto"/>
          <w:kern w:val="2"/>
          <w:sz w:val="24"/>
          <w:szCs w:val="24"/>
          <w:highlight w:val="none"/>
          <w:u w:val="single"/>
          <w:lang w:val="en-US" w:eastAsia="zh-CN"/>
        </w:rPr>
        <w:t>11</w:t>
      </w:r>
      <w:r>
        <w:rPr>
          <w:rFonts w:hint="eastAsia" w:ascii="宋体" w:hAnsi="宋体"/>
          <w:color w:val="auto"/>
          <w:kern w:val="2"/>
          <w:sz w:val="24"/>
          <w:szCs w:val="24"/>
          <w:highlight w:val="none"/>
        </w:rPr>
        <w:t>日</w:t>
      </w:r>
      <w:r>
        <w:rPr>
          <w:rFonts w:hint="eastAsia" w:ascii="宋体" w:hAnsi="宋体"/>
          <w:color w:val="auto"/>
          <w:kern w:val="2"/>
          <w:sz w:val="24"/>
          <w:szCs w:val="24"/>
          <w:highlight w:val="none"/>
          <w:u w:val="single"/>
          <w:lang w:val="en-US" w:eastAsia="zh-CN"/>
        </w:rPr>
        <w:t>09</w:t>
      </w:r>
      <w:r>
        <w:rPr>
          <w:rFonts w:hint="eastAsia" w:ascii="宋体" w:hAnsi="宋体"/>
          <w:color w:val="auto"/>
          <w:kern w:val="2"/>
          <w:sz w:val="24"/>
          <w:szCs w:val="24"/>
          <w:highlight w:val="none"/>
        </w:rPr>
        <w:t>时</w:t>
      </w:r>
      <w:r>
        <w:rPr>
          <w:rFonts w:hint="eastAsia" w:ascii="宋体" w:hAnsi="宋体"/>
          <w:color w:val="auto"/>
          <w:kern w:val="2"/>
          <w:sz w:val="24"/>
          <w:szCs w:val="24"/>
          <w:highlight w:val="none"/>
          <w:u w:val="single"/>
          <w:lang w:val="en-US" w:eastAsia="zh-CN"/>
        </w:rPr>
        <w:t>30</w:t>
      </w:r>
      <w:r>
        <w:rPr>
          <w:rFonts w:hint="eastAsia" w:ascii="宋体" w:hAnsi="宋体"/>
          <w:color w:val="auto"/>
          <w:kern w:val="2"/>
          <w:sz w:val="24"/>
          <w:szCs w:val="24"/>
          <w:highlight w:val="none"/>
        </w:rPr>
        <w:t>分</w:t>
      </w:r>
      <w:r>
        <w:rPr>
          <w:rFonts w:hint="eastAsia" w:ascii="宋体" w:hAnsi="宋体"/>
          <w:color w:val="auto"/>
          <w:kern w:val="2"/>
          <w:sz w:val="24"/>
          <w:szCs w:val="24"/>
          <w:highlight w:val="none"/>
          <w:lang w:val="zh-CN"/>
        </w:rPr>
        <w:t>（北京时间）；</w:t>
      </w:r>
    </w:p>
    <w:p w14:paraId="0FF36BC4">
      <w:pPr>
        <w:keepNext w:val="0"/>
        <w:keepLines w:val="0"/>
        <w:pageBreakBefore w:val="0"/>
        <w:widowControl w:val="0"/>
        <w:numPr>
          <w:ilvl w:val="0"/>
          <w:numId w:val="7"/>
        </w:numPr>
        <w:kinsoku/>
        <w:wordWrap/>
        <w:overflowPunct/>
        <w:topLinePunct w:val="0"/>
        <w:bidi w:val="0"/>
        <w:adjustRightInd/>
        <w:snapToGrid/>
        <w:spacing w:after="0" w:line="440" w:lineRule="exact"/>
        <w:jc w:val="both"/>
        <w:textAlignment w:val="auto"/>
        <w:rPr>
          <w:rFonts w:ascii="宋体" w:hAnsi="宋体"/>
          <w:color w:val="auto"/>
          <w:kern w:val="2"/>
          <w:sz w:val="24"/>
          <w:szCs w:val="24"/>
          <w:highlight w:val="none"/>
        </w:rPr>
      </w:pPr>
      <w:r>
        <w:rPr>
          <w:rFonts w:hint="eastAsia" w:ascii="宋体" w:hAnsi="宋体" w:cs="宋体"/>
          <w:color w:val="auto"/>
          <w:kern w:val="2"/>
          <w:sz w:val="24"/>
          <w:szCs w:val="24"/>
          <w:highlight w:val="none"/>
        </w:rPr>
        <w:t>供应商应当在递交响应文件截止时间前</w:t>
      </w:r>
      <w:r>
        <w:rPr>
          <w:rFonts w:hint="eastAsia" w:ascii="宋体" w:hAnsi="宋体"/>
          <w:color w:val="auto"/>
          <w:kern w:val="2"/>
          <w:sz w:val="24"/>
          <w:szCs w:val="24"/>
          <w:highlight w:val="none"/>
        </w:rPr>
        <w:t>，完成以下步骤：通过互联网登录</w:t>
      </w:r>
      <w:r>
        <w:rPr>
          <w:rFonts w:hint="eastAsia" w:ascii="宋体" w:hAnsi="宋体"/>
          <w:color w:val="auto"/>
          <w:kern w:val="2"/>
          <w:sz w:val="24"/>
          <w:szCs w:val="24"/>
          <w:highlight w:val="none"/>
          <w:lang w:val="zh-CN"/>
        </w:rPr>
        <w:t>电子交易平台</w:t>
      </w:r>
      <w:r>
        <w:rPr>
          <w:rFonts w:hint="eastAsia" w:ascii="宋体" w:hAnsi="宋体"/>
          <w:color w:val="auto"/>
          <w:kern w:val="2"/>
          <w:sz w:val="24"/>
          <w:szCs w:val="24"/>
          <w:highlight w:val="none"/>
        </w:rPr>
        <w:t>，选择所投的标段</w:t>
      </w:r>
      <w:r>
        <w:rPr>
          <w:rFonts w:hint="eastAsia" w:ascii="宋体" w:hAnsi="宋体"/>
          <w:b/>
          <w:color w:val="auto"/>
          <w:kern w:val="2"/>
          <w:sz w:val="24"/>
          <w:szCs w:val="24"/>
          <w:highlight w:val="none"/>
        </w:rPr>
        <w:t>上传加密的电子响应文件</w:t>
      </w:r>
      <w:r>
        <w:rPr>
          <w:rFonts w:hint="eastAsia" w:ascii="宋体" w:hAnsi="宋体"/>
          <w:color w:val="auto"/>
          <w:kern w:val="2"/>
          <w:sz w:val="24"/>
          <w:szCs w:val="24"/>
          <w:highlight w:val="none"/>
        </w:rPr>
        <w:t>。供应商完成加密响应文件上传后，电子交易平台即时向供应商发出电子签收凭证，递交时间以电子签收凭证载明的传输完成时间为准。</w:t>
      </w:r>
    </w:p>
    <w:p w14:paraId="4A72C3C9">
      <w:pPr>
        <w:keepNext w:val="0"/>
        <w:keepLines w:val="0"/>
        <w:pageBreakBefore w:val="0"/>
        <w:widowControl w:val="0"/>
        <w:numPr>
          <w:ilvl w:val="0"/>
          <w:numId w:val="7"/>
        </w:numPr>
        <w:kinsoku/>
        <w:wordWrap/>
        <w:overflowPunct/>
        <w:topLinePunct w:val="0"/>
        <w:bidi w:val="0"/>
        <w:adjustRightInd/>
        <w:snapToGrid/>
        <w:spacing w:after="0" w:line="440" w:lineRule="exact"/>
        <w:jc w:val="both"/>
        <w:textAlignment w:val="auto"/>
        <w:rPr>
          <w:rFonts w:ascii="宋体" w:hAnsi="宋体"/>
          <w:color w:val="auto"/>
          <w:kern w:val="2"/>
          <w:sz w:val="24"/>
          <w:szCs w:val="24"/>
          <w:highlight w:val="none"/>
          <w:lang w:val="zh-CN"/>
        </w:rPr>
      </w:pPr>
      <w:r>
        <w:rPr>
          <w:rFonts w:hint="eastAsia" w:ascii="宋体" w:hAnsi="宋体" w:cs="宋体"/>
          <w:color w:val="auto"/>
          <w:kern w:val="2"/>
          <w:sz w:val="24"/>
          <w:szCs w:val="24"/>
          <w:highlight w:val="none"/>
        </w:rPr>
        <w:t>逾期未完成上传加密电子响应文件</w:t>
      </w:r>
      <w:r>
        <w:rPr>
          <w:rFonts w:hint="eastAsia" w:ascii="宋体" w:hAnsi="宋体"/>
          <w:color w:val="auto"/>
          <w:kern w:val="2"/>
          <w:sz w:val="24"/>
          <w:szCs w:val="24"/>
          <w:highlight w:val="none"/>
        </w:rPr>
        <w:t>的，采购代理机构（电子交易平台）将视为未递交响应文件。</w:t>
      </w:r>
    </w:p>
    <w:p w14:paraId="4B5B52F9">
      <w:pPr>
        <w:keepNext w:val="0"/>
        <w:keepLines w:val="0"/>
        <w:pageBreakBefore w:val="0"/>
        <w:widowControl w:val="0"/>
        <w:numPr>
          <w:ilvl w:val="0"/>
          <w:numId w:val="2"/>
        </w:numPr>
        <w:kinsoku/>
        <w:wordWrap/>
        <w:overflowPunct/>
        <w:topLinePunct w:val="0"/>
        <w:bidi w:val="0"/>
        <w:adjustRightInd/>
        <w:snapToGrid/>
        <w:spacing w:after="0" w:line="440" w:lineRule="exact"/>
        <w:ind w:left="490" w:hanging="490"/>
        <w:jc w:val="both"/>
        <w:textAlignment w:val="auto"/>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公告期限</w:t>
      </w:r>
    </w:p>
    <w:p w14:paraId="098AF7E5">
      <w:pPr>
        <w:keepNext w:val="0"/>
        <w:keepLines w:val="0"/>
        <w:pageBreakBefore w:val="0"/>
        <w:widowControl w:val="0"/>
        <w:kinsoku/>
        <w:wordWrap/>
        <w:overflowPunct/>
        <w:topLinePunct w:val="0"/>
        <w:bidi w:val="0"/>
        <w:adjustRightInd/>
        <w:snapToGrid/>
        <w:spacing w:after="0" w:line="440" w:lineRule="exact"/>
        <w:ind w:left="580" w:leftChars="100" w:hanging="360" w:hangingChars="150"/>
        <w:jc w:val="both"/>
        <w:textAlignment w:val="auto"/>
        <w:rPr>
          <w:rFonts w:ascii="宋体" w:hAnsi="宋体"/>
          <w:color w:val="auto"/>
          <w:kern w:val="2"/>
          <w:sz w:val="24"/>
          <w:szCs w:val="24"/>
          <w:highlight w:val="none"/>
        </w:rPr>
      </w:pPr>
      <w:r>
        <w:rPr>
          <w:rFonts w:hint="eastAsia" w:ascii="宋体" w:hAnsi="宋体"/>
          <w:color w:val="auto"/>
          <w:kern w:val="2"/>
          <w:sz w:val="24"/>
          <w:szCs w:val="24"/>
          <w:highlight w:val="none"/>
        </w:rPr>
        <w:t>自本公告发布之日起3个工作日。</w:t>
      </w:r>
    </w:p>
    <w:p w14:paraId="3354D313">
      <w:pPr>
        <w:keepNext w:val="0"/>
        <w:keepLines w:val="0"/>
        <w:pageBreakBefore w:val="0"/>
        <w:widowControl w:val="0"/>
        <w:numPr>
          <w:ilvl w:val="0"/>
          <w:numId w:val="2"/>
        </w:numPr>
        <w:kinsoku/>
        <w:wordWrap/>
        <w:overflowPunct/>
        <w:topLinePunct w:val="0"/>
        <w:bidi w:val="0"/>
        <w:adjustRightInd/>
        <w:snapToGrid/>
        <w:spacing w:after="0" w:line="440" w:lineRule="exact"/>
        <w:ind w:left="490" w:hanging="490"/>
        <w:jc w:val="both"/>
        <w:textAlignment w:val="auto"/>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其他补充事宜：</w:t>
      </w:r>
    </w:p>
    <w:p w14:paraId="5832534C">
      <w:pPr>
        <w:keepNext w:val="0"/>
        <w:keepLines w:val="0"/>
        <w:pageBreakBefore w:val="0"/>
        <w:widowControl w:val="0"/>
        <w:numPr>
          <w:ilvl w:val="0"/>
          <w:numId w:val="8"/>
        </w:numPr>
        <w:kinsoku/>
        <w:wordWrap/>
        <w:overflowPunct/>
        <w:topLinePunct w:val="0"/>
        <w:bidi w:val="0"/>
        <w:adjustRightInd/>
        <w:snapToGrid/>
        <w:spacing w:after="0" w:line="440" w:lineRule="exact"/>
        <w:jc w:val="both"/>
        <w:textAlignment w:val="auto"/>
        <w:rPr>
          <w:rFonts w:ascii="宋体" w:hAnsi="宋体"/>
          <w:color w:val="auto"/>
          <w:kern w:val="2"/>
          <w:sz w:val="24"/>
          <w:szCs w:val="24"/>
          <w:highlight w:val="none"/>
        </w:rPr>
      </w:pPr>
      <w:r>
        <w:rPr>
          <w:rFonts w:hint="eastAsia" w:ascii="宋体" w:hAnsi="宋体" w:cs="宋体"/>
          <w:color w:val="auto"/>
          <w:kern w:val="2"/>
          <w:sz w:val="24"/>
          <w:szCs w:val="24"/>
          <w:highlight w:val="none"/>
        </w:rPr>
        <w:t>信息发布媒体</w:t>
      </w:r>
    </w:p>
    <w:p w14:paraId="495DE112">
      <w:pPr>
        <w:keepNext w:val="0"/>
        <w:keepLines w:val="0"/>
        <w:pageBreakBefore w:val="0"/>
        <w:kinsoku/>
        <w:wordWrap/>
        <w:overflowPunct/>
        <w:topLinePunct w:val="0"/>
        <w:bidi w:val="0"/>
        <w:adjustRightInd/>
        <w:snapToGrid/>
        <w:spacing w:after="0" w:line="440" w:lineRule="exact"/>
        <w:ind w:left="220" w:leftChars="100"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中国招标投标公共服务平台（</w:t>
      </w:r>
      <w:r>
        <w:rPr>
          <w:rFonts w:hint="eastAsia" w:ascii="宋体" w:hAnsi="宋体"/>
          <w:color w:val="auto"/>
          <w:sz w:val="24"/>
          <w:szCs w:val="24"/>
          <w:highlight w:val="none"/>
          <w:u w:val="single"/>
        </w:rPr>
        <w:t>http://www.cebpubservice.com/</w:t>
      </w:r>
      <w:r>
        <w:rPr>
          <w:rFonts w:hint="eastAsia" w:ascii="宋体" w:hAnsi="宋体"/>
          <w:color w:val="auto"/>
          <w:sz w:val="24"/>
          <w:szCs w:val="24"/>
          <w:highlight w:val="none"/>
        </w:rPr>
        <w:t>）</w:t>
      </w:r>
    </w:p>
    <w:p w14:paraId="4385E068">
      <w:pPr>
        <w:keepNext w:val="0"/>
        <w:keepLines w:val="0"/>
        <w:pageBreakBefore w:val="0"/>
        <w:kinsoku/>
        <w:wordWrap/>
        <w:overflowPunct/>
        <w:topLinePunct w:val="0"/>
        <w:bidi w:val="0"/>
        <w:adjustRightInd/>
        <w:snapToGrid/>
        <w:spacing w:after="0" w:line="440" w:lineRule="exact"/>
        <w:ind w:left="220" w:leftChars="10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湖北国华项目管理咨询有限公司官网（</w:t>
      </w:r>
      <w:r>
        <w:rPr>
          <w:rFonts w:hint="eastAsia" w:ascii="宋体" w:hAnsi="宋体"/>
          <w:color w:val="auto"/>
          <w:sz w:val="24"/>
          <w:szCs w:val="24"/>
          <w:highlight w:val="none"/>
          <w:u w:val="single"/>
        </w:rPr>
        <w:t>http://www.hbghzb.com/</w:t>
      </w:r>
      <w:r>
        <w:rPr>
          <w:rFonts w:hint="eastAsia" w:ascii="宋体" w:hAnsi="宋体"/>
          <w:color w:val="auto"/>
          <w:sz w:val="24"/>
          <w:szCs w:val="24"/>
          <w:highlight w:val="none"/>
        </w:rPr>
        <w:t>）</w:t>
      </w:r>
    </w:p>
    <w:p w14:paraId="68AA17F2">
      <w:pPr>
        <w:keepNext w:val="0"/>
        <w:keepLines w:val="0"/>
        <w:pageBreakBefore w:val="0"/>
        <w:widowControl w:val="0"/>
        <w:numPr>
          <w:ilvl w:val="0"/>
          <w:numId w:val="8"/>
        </w:numPr>
        <w:kinsoku/>
        <w:wordWrap/>
        <w:overflowPunct/>
        <w:topLinePunct w:val="0"/>
        <w:bidi w:val="0"/>
        <w:adjustRightInd/>
        <w:snapToGrid/>
        <w:spacing w:after="0" w:line="440" w:lineRule="exact"/>
        <w:jc w:val="both"/>
        <w:textAlignment w:val="auto"/>
        <w:rPr>
          <w:rFonts w:ascii="宋体" w:hAnsi="宋体"/>
          <w:color w:val="auto"/>
          <w:kern w:val="2"/>
          <w:sz w:val="24"/>
          <w:szCs w:val="24"/>
          <w:highlight w:val="none"/>
          <w:lang w:val="zh-CN"/>
        </w:rPr>
      </w:pPr>
      <w:r>
        <w:rPr>
          <w:rFonts w:hint="eastAsia" w:ascii="宋体" w:hAnsi="宋体"/>
          <w:color w:val="auto"/>
          <w:kern w:val="2"/>
          <w:sz w:val="24"/>
          <w:szCs w:val="24"/>
          <w:highlight w:val="none"/>
        </w:rPr>
        <w:t>质疑。供应商认为采购文件、采购过程和成交结果使自己的权益受到损害的，可以在知道或者应知其权益受到损害之日起7个工作日内，</w:t>
      </w:r>
      <w:r>
        <w:rPr>
          <w:rFonts w:hint="eastAsia" w:ascii="宋体" w:hAnsi="宋体"/>
          <w:color w:val="auto"/>
          <w:kern w:val="2"/>
          <w:sz w:val="24"/>
          <w:szCs w:val="24"/>
          <w:highlight w:val="none"/>
          <w:lang w:val="zh-CN"/>
        </w:rPr>
        <w:t>以书面形式向采购人、采购代理机构一次性提出针对同一采购程序环节的质疑。质疑时请提交书面质疑函一份（法定代表人</w:t>
      </w:r>
      <w:r>
        <w:rPr>
          <w:rFonts w:hint="eastAsia" w:ascii="宋体" w:hAnsi="宋体"/>
          <w:bCs/>
          <w:color w:val="auto"/>
          <w:kern w:val="2"/>
          <w:sz w:val="24"/>
          <w:szCs w:val="24"/>
          <w:highlight w:val="none"/>
        </w:rPr>
        <w:t>签名</w:t>
      </w:r>
      <w:r>
        <w:rPr>
          <w:rFonts w:hint="eastAsia" w:ascii="宋体" w:hAnsi="宋体"/>
          <w:color w:val="auto"/>
          <w:kern w:val="2"/>
          <w:sz w:val="24"/>
          <w:szCs w:val="24"/>
          <w:highlight w:val="none"/>
          <w:lang w:val="zh-CN"/>
        </w:rPr>
        <w:t>、加盖单位公章），并附相关证据材料。</w:t>
      </w:r>
    </w:p>
    <w:p w14:paraId="357F149B">
      <w:pPr>
        <w:keepNext w:val="0"/>
        <w:keepLines w:val="0"/>
        <w:pageBreakBefore w:val="0"/>
        <w:widowControl w:val="0"/>
        <w:numPr>
          <w:ilvl w:val="0"/>
          <w:numId w:val="2"/>
        </w:numPr>
        <w:kinsoku/>
        <w:wordWrap/>
        <w:overflowPunct/>
        <w:topLinePunct w:val="0"/>
        <w:bidi w:val="0"/>
        <w:adjustRightInd/>
        <w:snapToGrid/>
        <w:spacing w:after="0" w:line="440" w:lineRule="exact"/>
        <w:ind w:left="490" w:hanging="490"/>
        <w:jc w:val="both"/>
        <w:textAlignment w:val="auto"/>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对本次采购提出询问，请按以下方式联系：</w:t>
      </w:r>
    </w:p>
    <w:p w14:paraId="6EA95633">
      <w:pPr>
        <w:keepNext w:val="0"/>
        <w:keepLines w:val="0"/>
        <w:pageBreakBefore w:val="0"/>
        <w:numPr>
          <w:ilvl w:val="0"/>
          <w:numId w:val="9"/>
        </w:numPr>
        <w:tabs>
          <w:tab w:val="left" w:pos="567"/>
        </w:tabs>
        <w:kinsoku/>
        <w:wordWrap/>
        <w:overflowPunct/>
        <w:topLinePunct w:val="0"/>
        <w:bidi w:val="0"/>
        <w:adjustRightInd/>
        <w:snapToGrid/>
        <w:spacing w:after="0" w:line="440" w:lineRule="exact"/>
        <w:textAlignment w:val="auto"/>
        <w:rPr>
          <w:rFonts w:ascii="宋体" w:hAnsi="宋体" w:cs="宋体"/>
          <w:color w:val="auto"/>
          <w:kern w:val="2"/>
          <w:sz w:val="24"/>
          <w:szCs w:val="24"/>
          <w:highlight w:val="none"/>
        </w:rPr>
      </w:pPr>
      <w:r>
        <w:rPr>
          <w:rFonts w:hint="eastAsia" w:ascii="宋体" w:hAnsi="宋体" w:cs="宋体"/>
          <w:color w:val="auto"/>
          <w:sz w:val="24"/>
          <w:szCs w:val="24"/>
          <w:highlight w:val="none"/>
        </w:rPr>
        <w:t xml:space="preserve"> 采购人信息</w:t>
      </w:r>
    </w:p>
    <w:p w14:paraId="715CE832">
      <w:pPr>
        <w:keepNext w:val="0"/>
        <w:keepLines w:val="0"/>
        <w:pageBreakBefore w:val="0"/>
        <w:kinsoku/>
        <w:wordWrap/>
        <w:overflowPunct/>
        <w:topLinePunct w:val="0"/>
        <w:bidi w:val="0"/>
        <w:adjustRightInd/>
        <w:snapToGrid/>
        <w:spacing w:after="0" w:line="440" w:lineRule="exact"/>
        <w:ind w:left="220" w:leftChars="10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名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称：</w:t>
      </w:r>
      <w:r>
        <w:rPr>
          <w:rFonts w:hint="eastAsia" w:ascii="宋体" w:hAnsi="宋体" w:cs="宋体"/>
          <w:color w:val="auto"/>
          <w:sz w:val="24"/>
          <w:szCs w:val="24"/>
          <w:highlight w:val="none"/>
          <w:u w:val="single"/>
        </w:rPr>
        <w:t>武汉市东湖生态旅游风景区自然资源局</w:t>
      </w:r>
    </w:p>
    <w:p w14:paraId="1444C82B">
      <w:pPr>
        <w:keepNext w:val="0"/>
        <w:keepLines w:val="0"/>
        <w:pageBreakBefore w:val="0"/>
        <w:kinsoku/>
        <w:wordWrap/>
        <w:overflowPunct/>
        <w:topLinePunct w:val="0"/>
        <w:bidi w:val="0"/>
        <w:adjustRightInd/>
        <w:snapToGrid/>
        <w:spacing w:after="0" w:line="440" w:lineRule="exact"/>
        <w:ind w:left="220" w:leftChars="10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地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址：</w:t>
      </w:r>
      <w:r>
        <w:rPr>
          <w:rFonts w:hint="eastAsia" w:ascii="宋体" w:hAnsi="宋体" w:cs="宋体"/>
          <w:color w:val="auto"/>
          <w:sz w:val="24"/>
          <w:szCs w:val="24"/>
          <w:highlight w:val="none"/>
          <w:u w:val="single"/>
        </w:rPr>
        <w:t>湖北省武汉市武昌区沿湖大道21号</w:t>
      </w:r>
      <w:r>
        <w:rPr>
          <w:rFonts w:hint="eastAsia" w:ascii="宋体" w:hAnsi="宋体" w:cs="宋体"/>
          <w:color w:val="auto"/>
          <w:sz w:val="24"/>
          <w:szCs w:val="24"/>
          <w:highlight w:val="none"/>
        </w:rPr>
        <w:t>‌</w:t>
      </w:r>
    </w:p>
    <w:p w14:paraId="2DBFD2CB">
      <w:pPr>
        <w:keepNext w:val="0"/>
        <w:keepLines w:val="0"/>
        <w:pageBreakBefore w:val="0"/>
        <w:kinsoku/>
        <w:wordWrap/>
        <w:overflowPunct/>
        <w:topLinePunct w:val="0"/>
        <w:bidi w:val="0"/>
        <w:adjustRightInd/>
        <w:snapToGrid/>
        <w:spacing w:after="0" w:line="440" w:lineRule="exact"/>
        <w:ind w:left="220" w:leftChars="10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联系方式：</w:t>
      </w:r>
      <w:bookmarkStart w:id="32" w:name="_Toc28359009"/>
      <w:bookmarkStart w:id="33" w:name="_Toc28359086"/>
      <w:r>
        <w:rPr>
          <w:rFonts w:hint="eastAsia" w:ascii="宋体" w:hAnsi="宋体" w:cs="宋体"/>
          <w:color w:val="auto"/>
          <w:sz w:val="24"/>
          <w:szCs w:val="24"/>
          <w:highlight w:val="none"/>
          <w:u w:val="single"/>
          <w:lang w:val="en-US" w:eastAsia="zh-CN"/>
        </w:rPr>
        <w:t>张佩   027-86789942</w:t>
      </w:r>
    </w:p>
    <w:p w14:paraId="33067FED">
      <w:pPr>
        <w:keepNext w:val="0"/>
        <w:keepLines w:val="0"/>
        <w:pageBreakBefore w:val="0"/>
        <w:numPr>
          <w:ilvl w:val="0"/>
          <w:numId w:val="9"/>
        </w:numPr>
        <w:kinsoku/>
        <w:wordWrap/>
        <w:overflowPunct/>
        <w:topLinePunct w:val="0"/>
        <w:bidi w:val="0"/>
        <w:adjustRightInd/>
        <w:snapToGrid/>
        <w:spacing w:after="0" w:line="440" w:lineRule="exact"/>
        <w:textAlignment w:val="auto"/>
        <w:rPr>
          <w:rFonts w:ascii="宋体" w:hAnsi="宋体" w:cs="宋体"/>
          <w:color w:val="auto"/>
          <w:kern w:val="2"/>
          <w:sz w:val="24"/>
          <w:szCs w:val="24"/>
          <w:highlight w:val="none"/>
        </w:rPr>
      </w:pPr>
      <w:r>
        <w:rPr>
          <w:rFonts w:hint="eastAsia" w:ascii="宋体" w:hAnsi="宋体" w:cs="宋体"/>
          <w:color w:val="auto"/>
          <w:sz w:val="24"/>
          <w:szCs w:val="24"/>
          <w:highlight w:val="none"/>
        </w:rPr>
        <w:t>采购代理机构信息</w:t>
      </w:r>
      <w:bookmarkEnd w:id="32"/>
      <w:bookmarkEnd w:id="33"/>
    </w:p>
    <w:p w14:paraId="1B667A32">
      <w:pPr>
        <w:keepNext w:val="0"/>
        <w:keepLines w:val="0"/>
        <w:pageBreakBefore w:val="0"/>
        <w:kinsoku/>
        <w:wordWrap/>
        <w:overflowPunct/>
        <w:topLinePunct w:val="0"/>
        <w:bidi w:val="0"/>
        <w:adjustRightInd/>
        <w:snapToGrid/>
        <w:spacing w:after="0" w:line="440" w:lineRule="exact"/>
        <w:ind w:left="220" w:leftChars="10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名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称：</w:t>
      </w:r>
      <w:r>
        <w:rPr>
          <w:rFonts w:hint="eastAsia" w:ascii="宋体" w:hAnsi="宋体" w:cs="宋体"/>
          <w:color w:val="auto"/>
          <w:sz w:val="24"/>
          <w:szCs w:val="24"/>
          <w:highlight w:val="none"/>
          <w:u w:val="single"/>
        </w:rPr>
        <w:t>湖北国华项目管理咨询有限公司</w:t>
      </w:r>
    </w:p>
    <w:p w14:paraId="456A9480">
      <w:pPr>
        <w:keepNext w:val="0"/>
        <w:keepLines w:val="0"/>
        <w:pageBreakBefore w:val="0"/>
        <w:kinsoku/>
        <w:wordWrap/>
        <w:overflowPunct/>
        <w:topLinePunct w:val="0"/>
        <w:bidi w:val="0"/>
        <w:adjustRightInd/>
        <w:snapToGrid/>
        <w:spacing w:after="0" w:line="440" w:lineRule="exact"/>
        <w:ind w:left="220" w:leftChars="10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地</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址：</w:t>
      </w:r>
      <w:r>
        <w:rPr>
          <w:rFonts w:hint="eastAsia" w:ascii="宋体" w:hAnsi="宋体"/>
          <w:color w:val="auto"/>
          <w:sz w:val="24"/>
          <w:szCs w:val="24"/>
          <w:highlight w:val="none"/>
          <w:u w:val="single"/>
        </w:rPr>
        <w:t>武汉市</w:t>
      </w:r>
      <w:r>
        <w:rPr>
          <w:rFonts w:hint="eastAsia" w:ascii="宋体" w:hAnsi="宋体" w:cs="宋体"/>
          <w:color w:val="auto"/>
          <w:sz w:val="24"/>
          <w:szCs w:val="24"/>
          <w:highlight w:val="none"/>
          <w:u w:val="single"/>
        </w:rPr>
        <w:t>武昌区中北路109号中铁1818中心10楼</w:t>
      </w:r>
    </w:p>
    <w:p w14:paraId="24CFBF27">
      <w:pPr>
        <w:keepNext w:val="0"/>
        <w:keepLines w:val="0"/>
        <w:pageBreakBefore w:val="0"/>
        <w:numPr>
          <w:ilvl w:val="0"/>
          <w:numId w:val="9"/>
        </w:numPr>
        <w:kinsoku/>
        <w:wordWrap/>
        <w:overflowPunct/>
        <w:topLinePunct w:val="0"/>
        <w:bidi w:val="0"/>
        <w:adjustRightInd/>
        <w:snapToGrid/>
        <w:spacing w:after="0" w:line="440" w:lineRule="exact"/>
        <w:textAlignment w:val="auto"/>
        <w:rPr>
          <w:rFonts w:ascii="宋体" w:hAnsi="宋体" w:cs="宋体"/>
          <w:color w:val="auto"/>
          <w:kern w:val="2"/>
          <w:sz w:val="24"/>
          <w:szCs w:val="24"/>
          <w:highlight w:val="none"/>
        </w:rPr>
      </w:pPr>
      <w:bookmarkStart w:id="34" w:name="_Toc28359010"/>
      <w:bookmarkStart w:id="35" w:name="_Toc28359087"/>
      <w:r>
        <w:rPr>
          <w:rFonts w:hint="eastAsia" w:ascii="宋体" w:hAnsi="宋体" w:cs="宋体"/>
          <w:color w:val="auto"/>
          <w:sz w:val="24"/>
          <w:szCs w:val="24"/>
          <w:highlight w:val="none"/>
        </w:rPr>
        <w:t>项目联系方式</w:t>
      </w:r>
      <w:bookmarkEnd w:id="34"/>
      <w:bookmarkEnd w:id="35"/>
    </w:p>
    <w:p w14:paraId="50E50E0A">
      <w:pPr>
        <w:keepNext w:val="0"/>
        <w:keepLines w:val="0"/>
        <w:pageBreakBefore w:val="0"/>
        <w:kinsoku/>
        <w:wordWrap/>
        <w:overflowPunct/>
        <w:topLinePunct w:val="0"/>
        <w:bidi w:val="0"/>
        <w:adjustRightInd/>
        <w:snapToGrid/>
        <w:spacing w:after="0" w:line="440" w:lineRule="exact"/>
        <w:ind w:left="220" w:leftChars="10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项目联系人：</w:t>
      </w:r>
      <w:r>
        <w:rPr>
          <w:rFonts w:hint="eastAsia" w:ascii="宋体" w:hAnsi="宋体" w:cs="宋体"/>
          <w:color w:val="auto"/>
          <w:sz w:val="24"/>
          <w:szCs w:val="24"/>
          <w:highlight w:val="none"/>
          <w:u w:val="single"/>
        </w:rPr>
        <w:t>徐寒、刘素芳</w:t>
      </w:r>
    </w:p>
    <w:p w14:paraId="7E586B6C">
      <w:pPr>
        <w:keepNext w:val="0"/>
        <w:keepLines w:val="0"/>
        <w:pageBreakBefore w:val="0"/>
        <w:kinsoku/>
        <w:wordWrap/>
        <w:overflowPunct/>
        <w:topLinePunct w:val="0"/>
        <w:bidi w:val="0"/>
        <w:adjustRightInd/>
        <w:snapToGrid/>
        <w:spacing w:after="0" w:line="440" w:lineRule="exact"/>
        <w:ind w:left="220" w:leftChars="100" w:firstLine="480" w:firstLineChars="200"/>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rPr>
        <w:t>027-87272702</w:t>
      </w:r>
    </w:p>
    <w:p w14:paraId="7F5982B9">
      <w:pPr>
        <w:keepNext w:val="0"/>
        <w:keepLines w:val="0"/>
        <w:pageBreakBefore w:val="0"/>
        <w:kinsoku/>
        <w:wordWrap/>
        <w:overflowPunct/>
        <w:topLinePunct w:val="0"/>
        <w:bidi w:val="0"/>
        <w:adjustRightInd/>
        <w:snapToGrid/>
        <w:spacing w:after="0" w:line="440" w:lineRule="exact"/>
        <w:ind w:left="220" w:leftChars="100" w:firstLine="480" w:firstLineChars="200"/>
        <w:textAlignment w:val="auto"/>
        <w:rPr>
          <w:rFonts w:ascii="宋体" w:hAnsi="宋体" w:cs="宋体"/>
          <w:color w:val="auto"/>
          <w:sz w:val="24"/>
          <w:szCs w:val="24"/>
          <w:highlight w:val="none"/>
        </w:rPr>
      </w:pPr>
      <w:r>
        <w:rPr>
          <w:rFonts w:hint="eastAsia" w:ascii="宋体" w:hAnsi="宋体"/>
          <w:color w:val="auto"/>
          <w:sz w:val="24"/>
          <w:szCs w:val="24"/>
          <w:highlight w:val="none"/>
        </w:rPr>
        <w:t>电子邮箱：</w:t>
      </w:r>
      <w:r>
        <w:rPr>
          <w:rFonts w:hint="eastAsia" w:ascii="宋体" w:hAnsi="宋体"/>
          <w:color w:val="auto"/>
          <w:sz w:val="24"/>
          <w:szCs w:val="24"/>
          <w:highlight w:val="none"/>
          <w:u w:val="single"/>
          <w:lang w:val="en-US" w:eastAsia="zh-CN"/>
        </w:rPr>
        <w:t>2011909005@qq.com</w:t>
      </w:r>
    </w:p>
    <w:p w14:paraId="27F8E673">
      <w:pPr>
        <w:keepNext w:val="0"/>
        <w:keepLines w:val="0"/>
        <w:pageBreakBefore w:val="0"/>
        <w:tabs>
          <w:tab w:val="left" w:pos="5082"/>
          <w:tab w:val="left" w:pos="5670"/>
        </w:tabs>
        <w:kinsoku/>
        <w:wordWrap/>
        <w:overflowPunct/>
        <w:topLinePunct w:val="0"/>
        <w:bidi w:val="0"/>
        <w:adjustRightInd/>
        <w:snapToGrid/>
        <w:spacing w:after="0" w:line="440" w:lineRule="exact"/>
        <w:jc w:val="center"/>
        <w:textAlignment w:val="auto"/>
        <w:rPr>
          <w:rFonts w:ascii="宋体" w:hAnsi="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31</w:t>
      </w:r>
      <w:r>
        <w:rPr>
          <w:rFonts w:hint="eastAsia" w:ascii="宋体" w:hAnsi="宋体" w:cs="宋体"/>
          <w:color w:val="auto"/>
          <w:sz w:val="24"/>
          <w:szCs w:val="24"/>
          <w:highlight w:val="none"/>
        </w:rPr>
        <w:t>日</w:t>
      </w:r>
    </w:p>
    <w:p w14:paraId="12AD8B58">
      <w:pPr>
        <w:keepNext/>
        <w:keepLines/>
        <w:adjustRightInd w:val="0"/>
        <w:snapToGrid w:val="0"/>
        <w:spacing w:after="0"/>
        <w:jc w:val="center"/>
        <w:textAlignment w:val="baseline"/>
        <w:outlineLvl w:val="0"/>
        <w:rPr>
          <w:rFonts w:ascii="Cambria" w:hAnsi="Cambria"/>
          <w:b/>
          <w:bCs/>
          <w:color w:val="auto"/>
          <w:sz w:val="30"/>
          <w:szCs w:val="28"/>
          <w:highlight w:val="none"/>
        </w:rPr>
      </w:pPr>
      <w:r>
        <w:rPr>
          <w:rFonts w:hint="eastAsia" w:ascii="宋体" w:hAnsi="宋体" w:cs="宋体"/>
          <w:color w:val="auto"/>
          <w:sz w:val="21"/>
          <w:szCs w:val="21"/>
          <w:highlight w:val="none"/>
        </w:rPr>
        <w:br w:type="page"/>
      </w:r>
      <w:bookmarkStart w:id="36" w:name="_Toc442343668"/>
      <w:bookmarkEnd w:id="36"/>
      <w:bookmarkStart w:id="37" w:name="_Toc2078"/>
      <w:bookmarkStart w:id="38" w:name="_Toc141260229"/>
      <w:bookmarkStart w:id="39" w:name="_Toc28770"/>
      <w:r>
        <w:rPr>
          <w:rFonts w:hint="eastAsia" w:ascii="Cambria" w:hAnsi="Cambria"/>
          <w:b/>
          <w:bCs/>
          <w:color w:val="auto"/>
          <w:sz w:val="30"/>
          <w:szCs w:val="28"/>
          <w:highlight w:val="none"/>
        </w:rPr>
        <w:t>第二章</w:t>
      </w:r>
      <w:r>
        <w:rPr>
          <w:rFonts w:ascii="Cambria" w:hAnsi="Cambria"/>
          <w:b/>
          <w:bCs/>
          <w:color w:val="auto"/>
          <w:sz w:val="30"/>
          <w:szCs w:val="28"/>
          <w:highlight w:val="none"/>
        </w:rPr>
        <w:t xml:space="preserve"> </w:t>
      </w:r>
      <w:r>
        <w:rPr>
          <w:rFonts w:hint="eastAsia" w:ascii="Cambria" w:hAnsi="Cambria"/>
          <w:b/>
          <w:bCs/>
          <w:color w:val="auto"/>
          <w:sz w:val="30"/>
          <w:szCs w:val="28"/>
          <w:highlight w:val="none"/>
        </w:rPr>
        <w:t>供应商须知</w:t>
      </w:r>
      <w:bookmarkEnd w:id="37"/>
      <w:bookmarkEnd w:id="38"/>
      <w:bookmarkEnd w:id="39"/>
    </w:p>
    <w:p w14:paraId="26C75FF9">
      <w:pPr>
        <w:keepNext w:val="0"/>
        <w:keepLines w:val="0"/>
        <w:pageBreakBefore w:val="0"/>
        <w:kinsoku/>
        <w:wordWrap/>
        <w:overflowPunct/>
        <w:bidi w:val="0"/>
        <w:adjustRightInd w:val="0"/>
        <w:spacing w:after="0" w:line="44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供应商应仔细阅读本《供应商须知前附表》，下表所列内容是对“供应商须知”的具体补充和说明。如有矛盾，应以本表为准。</w:t>
      </w:r>
    </w:p>
    <w:p w14:paraId="49B9A55A">
      <w:pPr>
        <w:keepNext w:val="0"/>
        <w:keepLines w:val="0"/>
        <w:pageBreakBefore w:val="0"/>
        <w:tabs>
          <w:tab w:val="center" w:pos="4153"/>
          <w:tab w:val="right" w:pos="8306"/>
        </w:tabs>
        <w:kinsoku/>
        <w:wordWrap/>
        <w:overflowPunct/>
        <w:bidi w:val="0"/>
        <w:snapToGrid w:val="0"/>
        <w:spacing w:after="0" w:line="440" w:lineRule="exact"/>
        <w:textAlignment w:val="auto"/>
        <w:outlineLvl w:val="1"/>
        <w:rPr>
          <w:rFonts w:ascii="宋体" w:hAnsi="宋体"/>
          <w:b/>
          <w:color w:val="auto"/>
          <w:kern w:val="2"/>
          <w:sz w:val="24"/>
          <w:szCs w:val="24"/>
          <w:highlight w:val="none"/>
          <w:lang w:val="zh-CN"/>
        </w:rPr>
      </w:pPr>
      <w:r>
        <w:rPr>
          <w:rFonts w:hint="eastAsia" w:ascii="宋体" w:hAnsi="宋体" w:cs="宋体"/>
          <w:b/>
          <w:bCs/>
          <w:color w:val="auto"/>
          <w:kern w:val="2"/>
          <w:sz w:val="24"/>
          <w:szCs w:val="24"/>
          <w:highlight w:val="none"/>
        </w:rPr>
        <w:t>供应商须知前附表</w:t>
      </w:r>
    </w:p>
    <w:tbl>
      <w:tblPr>
        <w:tblStyle w:val="36"/>
        <w:tblW w:w="8980" w:type="dxa"/>
        <w:jc w:val="center"/>
        <w:tblLayout w:type="fixed"/>
        <w:tblCellMar>
          <w:top w:w="0" w:type="dxa"/>
          <w:left w:w="0" w:type="dxa"/>
          <w:bottom w:w="0" w:type="dxa"/>
          <w:right w:w="0" w:type="dxa"/>
        </w:tblCellMar>
      </w:tblPr>
      <w:tblGrid>
        <w:gridCol w:w="752"/>
        <w:gridCol w:w="2068"/>
        <w:gridCol w:w="6152"/>
        <w:gridCol w:w="8"/>
      </w:tblGrid>
      <w:tr w14:paraId="368E1094">
        <w:tblPrEx>
          <w:tblCellMar>
            <w:top w:w="0" w:type="dxa"/>
            <w:left w:w="0" w:type="dxa"/>
            <w:bottom w:w="0" w:type="dxa"/>
            <w:right w:w="0" w:type="dxa"/>
          </w:tblCellMar>
        </w:tblPrEx>
        <w:trPr>
          <w:gridAfter w:val="1"/>
          <w:wAfter w:w="8" w:type="dxa"/>
          <w:trHeight w:val="57" w:hRule="atLeast"/>
          <w:jc w:val="center"/>
        </w:trPr>
        <w:tc>
          <w:tcPr>
            <w:tcW w:w="752" w:type="dxa"/>
            <w:tcBorders>
              <w:top w:val="single" w:color="auto" w:sz="12" w:space="0"/>
              <w:left w:val="single" w:color="auto" w:sz="12" w:space="0"/>
              <w:bottom w:val="single" w:color="auto" w:sz="6" w:space="0"/>
              <w:right w:val="single" w:color="auto" w:sz="6" w:space="0"/>
            </w:tcBorders>
            <w:shd w:val="clear" w:color="auto" w:fill="C0C0C0"/>
            <w:vAlign w:val="center"/>
          </w:tcPr>
          <w:p w14:paraId="72095BFD">
            <w:pPr>
              <w:keepNext w:val="0"/>
              <w:keepLines w:val="0"/>
              <w:pageBreakBefore w:val="0"/>
              <w:kinsoku/>
              <w:wordWrap/>
              <w:overflowPunct/>
              <w:autoSpaceDE w:val="0"/>
              <w:autoSpaceDN w:val="0"/>
              <w:bidi w:val="0"/>
              <w:adjustRightInd w:val="0"/>
              <w:snapToGrid w:val="0"/>
              <w:spacing w:after="0" w:line="440" w:lineRule="exact"/>
              <w:ind w:left="22" w:leftChars="10" w:right="22" w:rightChars="10"/>
              <w:textAlignment w:val="auto"/>
              <w:rPr>
                <w:rFonts w:ascii="宋体" w:hAnsi="宋体"/>
                <w:b/>
                <w:color w:val="auto"/>
                <w:kern w:val="2"/>
                <w:sz w:val="24"/>
                <w:szCs w:val="24"/>
                <w:highlight w:val="none"/>
                <w:lang w:val="zh-CN"/>
              </w:rPr>
            </w:pPr>
            <w:r>
              <w:rPr>
                <w:rFonts w:hint="eastAsia" w:ascii="宋体" w:hAnsi="宋体"/>
                <w:b/>
                <w:color w:val="auto"/>
                <w:kern w:val="2"/>
                <w:sz w:val="24"/>
                <w:szCs w:val="24"/>
                <w:highlight w:val="none"/>
                <w:lang w:val="zh-CN"/>
              </w:rPr>
              <w:t>条款号</w:t>
            </w:r>
          </w:p>
        </w:tc>
        <w:tc>
          <w:tcPr>
            <w:tcW w:w="2068" w:type="dxa"/>
            <w:tcBorders>
              <w:top w:val="single" w:color="auto" w:sz="12" w:space="0"/>
              <w:left w:val="single" w:color="auto" w:sz="12" w:space="0"/>
              <w:bottom w:val="single" w:color="auto" w:sz="6" w:space="0"/>
              <w:right w:val="single" w:color="auto" w:sz="6" w:space="0"/>
            </w:tcBorders>
            <w:shd w:val="clear" w:color="auto" w:fill="C0C0C0"/>
            <w:vAlign w:val="center"/>
          </w:tcPr>
          <w:p w14:paraId="6C1AE122">
            <w:pPr>
              <w:keepNext w:val="0"/>
              <w:keepLines w:val="0"/>
              <w:pageBreakBefore w:val="0"/>
              <w:kinsoku/>
              <w:wordWrap/>
              <w:overflowPunct/>
              <w:autoSpaceDE w:val="0"/>
              <w:autoSpaceDN w:val="0"/>
              <w:bidi w:val="0"/>
              <w:adjustRightInd w:val="0"/>
              <w:snapToGrid w:val="0"/>
              <w:spacing w:after="0" w:line="440" w:lineRule="exact"/>
              <w:ind w:left="22" w:leftChars="10" w:right="22" w:rightChars="10"/>
              <w:textAlignment w:val="auto"/>
              <w:rPr>
                <w:rFonts w:ascii="宋体" w:hAnsi="宋体"/>
                <w:b/>
                <w:color w:val="auto"/>
                <w:kern w:val="2"/>
                <w:sz w:val="24"/>
                <w:szCs w:val="24"/>
                <w:highlight w:val="none"/>
                <w:lang w:val="zh-CN"/>
              </w:rPr>
            </w:pPr>
            <w:r>
              <w:rPr>
                <w:rFonts w:hint="eastAsia" w:ascii="宋体" w:hAnsi="宋体"/>
                <w:b/>
                <w:color w:val="auto"/>
                <w:kern w:val="2"/>
                <w:sz w:val="24"/>
                <w:szCs w:val="24"/>
                <w:highlight w:val="none"/>
                <w:lang w:val="zh-CN"/>
              </w:rPr>
              <w:t>条款名称</w:t>
            </w:r>
          </w:p>
        </w:tc>
        <w:tc>
          <w:tcPr>
            <w:tcW w:w="6152" w:type="dxa"/>
            <w:tcBorders>
              <w:top w:val="single" w:color="auto" w:sz="12" w:space="0"/>
              <w:left w:val="single" w:color="auto" w:sz="6" w:space="0"/>
              <w:bottom w:val="single" w:color="auto" w:sz="6" w:space="0"/>
              <w:right w:val="single" w:color="auto" w:sz="12" w:space="0"/>
            </w:tcBorders>
            <w:shd w:val="clear" w:color="auto" w:fill="C0C0C0"/>
            <w:vAlign w:val="center"/>
          </w:tcPr>
          <w:p w14:paraId="5E3BC8AA">
            <w:pPr>
              <w:keepNext w:val="0"/>
              <w:keepLines w:val="0"/>
              <w:pageBreakBefore w:val="0"/>
              <w:kinsoku/>
              <w:wordWrap/>
              <w:overflowPunct/>
              <w:autoSpaceDE w:val="0"/>
              <w:autoSpaceDN w:val="0"/>
              <w:bidi w:val="0"/>
              <w:adjustRightInd w:val="0"/>
              <w:snapToGrid w:val="0"/>
              <w:spacing w:after="0" w:line="440" w:lineRule="exact"/>
              <w:ind w:left="22" w:leftChars="10" w:right="22" w:rightChars="10"/>
              <w:textAlignment w:val="auto"/>
              <w:rPr>
                <w:rFonts w:ascii="宋体" w:hAnsi="宋体"/>
                <w:b/>
                <w:color w:val="auto"/>
                <w:kern w:val="2"/>
                <w:sz w:val="24"/>
                <w:szCs w:val="24"/>
                <w:highlight w:val="none"/>
                <w:lang w:val="zh-CN"/>
              </w:rPr>
            </w:pPr>
            <w:r>
              <w:rPr>
                <w:rFonts w:hint="eastAsia" w:ascii="宋体" w:hAnsi="宋体"/>
                <w:b/>
                <w:color w:val="auto"/>
                <w:kern w:val="2"/>
                <w:sz w:val="24"/>
                <w:szCs w:val="24"/>
                <w:highlight w:val="none"/>
                <w:lang w:val="zh-CN"/>
              </w:rPr>
              <w:t>编列内容</w:t>
            </w:r>
          </w:p>
        </w:tc>
      </w:tr>
      <w:tr w14:paraId="2204EBEF">
        <w:tblPrEx>
          <w:tblCellMar>
            <w:top w:w="0" w:type="dxa"/>
            <w:left w:w="0" w:type="dxa"/>
            <w:bottom w:w="0" w:type="dxa"/>
            <w:right w:w="0" w:type="dxa"/>
          </w:tblCellMar>
        </w:tblPrEx>
        <w:trPr>
          <w:gridAfter w:val="1"/>
          <w:wAfter w:w="8" w:type="dxa"/>
          <w:trHeight w:val="20" w:hRule="atLeast"/>
          <w:jc w:val="center"/>
        </w:trPr>
        <w:tc>
          <w:tcPr>
            <w:tcW w:w="752" w:type="dxa"/>
            <w:tcBorders>
              <w:top w:val="single" w:color="auto" w:sz="12" w:space="0"/>
              <w:left w:val="single" w:color="auto" w:sz="12" w:space="0"/>
              <w:bottom w:val="single" w:color="auto" w:sz="6" w:space="0"/>
              <w:right w:val="single" w:color="auto" w:sz="6" w:space="0"/>
            </w:tcBorders>
            <w:vAlign w:val="center"/>
          </w:tcPr>
          <w:p w14:paraId="031ECA0C">
            <w:pPr>
              <w:keepNext w:val="0"/>
              <w:keepLines w:val="0"/>
              <w:pageBreakBefore w:val="0"/>
              <w:widowControl w:val="0"/>
              <w:kinsoku/>
              <w:wordWrap/>
              <w:overflowPunct/>
              <w:autoSpaceDE w:val="0"/>
              <w:autoSpaceDN w:val="0"/>
              <w:bidi w:val="0"/>
              <w:adjustRightInd w:val="0"/>
              <w:snapToGrid w:val="0"/>
              <w:spacing w:after="0" w:line="440" w:lineRule="exact"/>
              <w:ind w:left="22" w:leftChars="10" w:right="22" w:rightChars="10"/>
              <w:jc w:val="both"/>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2.1</w:t>
            </w:r>
          </w:p>
        </w:tc>
        <w:tc>
          <w:tcPr>
            <w:tcW w:w="2068" w:type="dxa"/>
            <w:tcBorders>
              <w:top w:val="single" w:color="auto" w:sz="12" w:space="0"/>
              <w:left w:val="single" w:color="auto" w:sz="12" w:space="0"/>
              <w:bottom w:val="single" w:color="auto" w:sz="6" w:space="0"/>
              <w:right w:val="single" w:color="auto" w:sz="6" w:space="0"/>
            </w:tcBorders>
            <w:vAlign w:val="center"/>
          </w:tcPr>
          <w:p w14:paraId="4F39DE63">
            <w:pPr>
              <w:keepNext w:val="0"/>
              <w:keepLines w:val="0"/>
              <w:pageBreakBefore w:val="0"/>
              <w:kinsoku/>
              <w:wordWrap/>
              <w:overflowPunct/>
              <w:bidi w:val="0"/>
              <w:adjustRightInd w:val="0"/>
              <w:snapToGrid w:val="0"/>
              <w:spacing w:after="0" w:line="440" w:lineRule="exact"/>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采购人</w:t>
            </w:r>
          </w:p>
        </w:tc>
        <w:tc>
          <w:tcPr>
            <w:tcW w:w="6152" w:type="dxa"/>
            <w:tcBorders>
              <w:top w:val="single" w:color="auto" w:sz="12" w:space="0"/>
              <w:left w:val="single" w:color="auto" w:sz="6" w:space="0"/>
              <w:bottom w:val="single" w:color="auto" w:sz="6" w:space="0"/>
              <w:right w:val="single" w:color="auto" w:sz="12" w:space="0"/>
            </w:tcBorders>
            <w:vAlign w:val="center"/>
          </w:tcPr>
          <w:p w14:paraId="7A15665D">
            <w:pPr>
              <w:keepNext w:val="0"/>
              <w:keepLines w:val="0"/>
              <w:pageBreakBefore w:val="0"/>
              <w:kinsoku/>
              <w:wordWrap/>
              <w:overflowPunct/>
              <w:bidi w:val="0"/>
              <w:adjustRightInd w:val="0"/>
              <w:snapToGrid w:val="0"/>
              <w:spacing w:after="0" w:line="440" w:lineRule="exact"/>
              <w:ind w:firstLine="480" w:firstLineChars="200"/>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武汉市东湖生态旅游风景区自然资源局</w:t>
            </w:r>
          </w:p>
        </w:tc>
      </w:tr>
      <w:tr w14:paraId="27E655BA">
        <w:tblPrEx>
          <w:tblCellMar>
            <w:top w:w="0" w:type="dxa"/>
            <w:left w:w="0" w:type="dxa"/>
            <w:bottom w:w="0" w:type="dxa"/>
            <w:right w:w="0" w:type="dxa"/>
          </w:tblCellMar>
        </w:tblPrEx>
        <w:trPr>
          <w:gridAfter w:val="1"/>
          <w:wAfter w:w="8" w:type="dxa"/>
          <w:trHeight w:val="20" w:hRule="atLeast"/>
          <w:jc w:val="center"/>
        </w:trPr>
        <w:tc>
          <w:tcPr>
            <w:tcW w:w="752" w:type="dxa"/>
            <w:tcBorders>
              <w:top w:val="single" w:color="auto" w:sz="6" w:space="0"/>
              <w:left w:val="single" w:color="auto" w:sz="12" w:space="0"/>
              <w:bottom w:val="single" w:color="auto" w:sz="6" w:space="0"/>
              <w:right w:val="single" w:color="auto" w:sz="6" w:space="0"/>
            </w:tcBorders>
            <w:vAlign w:val="center"/>
          </w:tcPr>
          <w:p w14:paraId="31DBE3E7">
            <w:pPr>
              <w:keepNext w:val="0"/>
              <w:keepLines w:val="0"/>
              <w:pageBreakBefore w:val="0"/>
              <w:kinsoku/>
              <w:wordWrap/>
              <w:overflowPunct/>
              <w:autoSpaceDE w:val="0"/>
              <w:autoSpaceDN w:val="0"/>
              <w:bidi w:val="0"/>
              <w:adjustRightInd w:val="0"/>
              <w:snapToGrid w:val="0"/>
              <w:spacing w:after="0" w:line="440" w:lineRule="exact"/>
              <w:ind w:left="22" w:leftChars="10" w:right="22" w:rightChars="10"/>
              <w:textAlignment w:val="auto"/>
              <w:rPr>
                <w:rFonts w:ascii="宋体" w:hAnsi="宋体"/>
                <w:color w:val="auto"/>
                <w:kern w:val="2"/>
                <w:sz w:val="24"/>
                <w:szCs w:val="24"/>
                <w:highlight w:val="none"/>
              </w:rPr>
            </w:pPr>
            <w:r>
              <w:rPr>
                <w:rFonts w:hint="eastAsia" w:ascii="宋体" w:hAnsi="宋体"/>
                <w:color w:val="auto"/>
                <w:kern w:val="2"/>
                <w:sz w:val="24"/>
                <w:szCs w:val="24"/>
                <w:highlight w:val="none"/>
              </w:rPr>
              <w:t>2.2</w:t>
            </w:r>
          </w:p>
        </w:tc>
        <w:tc>
          <w:tcPr>
            <w:tcW w:w="2068" w:type="dxa"/>
            <w:tcBorders>
              <w:top w:val="single" w:color="auto" w:sz="6" w:space="0"/>
              <w:left w:val="single" w:color="auto" w:sz="12" w:space="0"/>
              <w:bottom w:val="single" w:color="auto" w:sz="6" w:space="0"/>
              <w:right w:val="single" w:color="auto" w:sz="6" w:space="0"/>
            </w:tcBorders>
            <w:vAlign w:val="center"/>
          </w:tcPr>
          <w:p w14:paraId="5BC2D19C">
            <w:pPr>
              <w:keepNext w:val="0"/>
              <w:keepLines w:val="0"/>
              <w:pageBreakBefore w:val="0"/>
              <w:kinsoku/>
              <w:wordWrap/>
              <w:overflowPunct/>
              <w:bidi w:val="0"/>
              <w:adjustRightInd w:val="0"/>
              <w:snapToGrid w:val="0"/>
              <w:spacing w:after="0" w:line="440" w:lineRule="exact"/>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监管机构</w:t>
            </w:r>
          </w:p>
        </w:tc>
        <w:tc>
          <w:tcPr>
            <w:tcW w:w="6152" w:type="dxa"/>
            <w:tcBorders>
              <w:top w:val="single" w:color="auto" w:sz="6" w:space="0"/>
              <w:left w:val="single" w:color="auto" w:sz="6" w:space="0"/>
              <w:bottom w:val="single" w:color="auto" w:sz="6" w:space="0"/>
              <w:right w:val="single" w:color="auto" w:sz="12" w:space="0"/>
            </w:tcBorders>
            <w:vAlign w:val="center"/>
          </w:tcPr>
          <w:p w14:paraId="5BF02C74">
            <w:pPr>
              <w:keepNext w:val="0"/>
              <w:keepLines w:val="0"/>
              <w:pageBreakBefore w:val="0"/>
              <w:kinsoku/>
              <w:wordWrap/>
              <w:overflowPunct/>
              <w:bidi w:val="0"/>
              <w:adjustRightInd w:val="0"/>
              <w:snapToGrid w:val="0"/>
              <w:spacing w:after="0" w:line="440" w:lineRule="exact"/>
              <w:ind w:firstLine="480" w:firstLineChars="200"/>
              <w:textAlignment w:val="auto"/>
              <w:rPr>
                <w:rFonts w:hint="eastAsia" w:ascii="宋体" w:hAnsi="宋体" w:eastAsia="宋体" w:cs="宋体"/>
                <w:color w:val="auto"/>
                <w:kern w:val="2"/>
                <w:sz w:val="24"/>
                <w:szCs w:val="24"/>
                <w:highlight w:val="none"/>
                <w:lang w:val="zh-CN" w:eastAsia="zh-CN"/>
              </w:rPr>
            </w:pPr>
            <w:r>
              <w:rPr>
                <w:rFonts w:hint="eastAsia" w:ascii="宋体" w:hAnsi="宋体" w:cs="宋体"/>
                <w:color w:val="auto"/>
                <w:kern w:val="2"/>
                <w:sz w:val="24"/>
                <w:szCs w:val="24"/>
                <w:highlight w:val="none"/>
                <w:lang w:val="en-US" w:eastAsia="zh-CN"/>
              </w:rPr>
              <w:t>/</w:t>
            </w:r>
          </w:p>
        </w:tc>
      </w:tr>
      <w:tr w14:paraId="201BFD1C">
        <w:tblPrEx>
          <w:tblCellMar>
            <w:top w:w="0" w:type="dxa"/>
            <w:left w:w="0" w:type="dxa"/>
            <w:bottom w:w="0" w:type="dxa"/>
            <w:right w:w="0" w:type="dxa"/>
          </w:tblCellMar>
        </w:tblPrEx>
        <w:trPr>
          <w:gridAfter w:val="1"/>
          <w:wAfter w:w="8" w:type="dxa"/>
          <w:trHeight w:val="20" w:hRule="atLeast"/>
          <w:jc w:val="center"/>
        </w:trPr>
        <w:tc>
          <w:tcPr>
            <w:tcW w:w="752" w:type="dxa"/>
            <w:tcBorders>
              <w:top w:val="single" w:color="auto" w:sz="6" w:space="0"/>
              <w:left w:val="single" w:color="auto" w:sz="12" w:space="0"/>
              <w:bottom w:val="single" w:color="auto" w:sz="6" w:space="0"/>
              <w:right w:val="single" w:color="auto" w:sz="6" w:space="0"/>
            </w:tcBorders>
            <w:vAlign w:val="center"/>
          </w:tcPr>
          <w:p w14:paraId="4A739683">
            <w:pPr>
              <w:keepNext w:val="0"/>
              <w:keepLines w:val="0"/>
              <w:pageBreakBefore w:val="0"/>
              <w:kinsoku/>
              <w:wordWrap/>
              <w:overflowPunct/>
              <w:autoSpaceDE w:val="0"/>
              <w:autoSpaceDN w:val="0"/>
              <w:bidi w:val="0"/>
              <w:adjustRightInd w:val="0"/>
              <w:snapToGrid w:val="0"/>
              <w:spacing w:after="0" w:line="440" w:lineRule="exact"/>
              <w:ind w:left="22" w:leftChars="10" w:right="22" w:rightChars="10"/>
              <w:textAlignment w:val="auto"/>
              <w:rPr>
                <w:rFonts w:ascii="宋体" w:hAnsi="宋体"/>
                <w:color w:val="auto"/>
                <w:kern w:val="2"/>
                <w:sz w:val="24"/>
                <w:szCs w:val="24"/>
                <w:highlight w:val="none"/>
              </w:rPr>
            </w:pPr>
            <w:r>
              <w:rPr>
                <w:rFonts w:hint="eastAsia" w:ascii="宋体" w:hAnsi="宋体"/>
                <w:color w:val="auto"/>
                <w:kern w:val="2"/>
                <w:sz w:val="24"/>
                <w:szCs w:val="24"/>
                <w:highlight w:val="none"/>
              </w:rPr>
              <w:t>2.3</w:t>
            </w:r>
          </w:p>
        </w:tc>
        <w:tc>
          <w:tcPr>
            <w:tcW w:w="2068" w:type="dxa"/>
            <w:tcBorders>
              <w:top w:val="single" w:color="auto" w:sz="6" w:space="0"/>
              <w:left w:val="single" w:color="auto" w:sz="12" w:space="0"/>
              <w:bottom w:val="single" w:color="auto" w:sz="6" w:space="0"/>
              <w:right w:val="single" w:color="auto" w:sz="6" w:space="0"/>
            </w:tcBorders>
            <w:vAlign w:val="center"/>
          </w:tcPr>
          <w:p w14:paraId="4F62068A">
            <w:pPr>
              <w:keepNext w:val="0"/>
              <w:keepLines w:val="0"/>
              <w:pageBreakBefore w:val="0"/>
              <w:kinsoku/>
              <w:wordWrap/>
              <w:overflowPunct/>
              <w:bidi w:val="0"/>
              <w:adjustRightInd w:val="0"/>
              <w:snapToGrid w:val="0"/>
              <w:spacing w:after="0" w:line="440" w:lineRule="exact"/>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采购代理机构</w:t>
            </w:r>
          </w:p>
        </w:tc>
        <w:tc>
          <w:tcPr>
            <w:tcW w:w="6152" w:type="dxa"/>
            <w:tcBorders>
              <w:top w:val="single" w:color="auto" w:sz="6" w:space="0"/>
              <w:left w:val="single" w:color="auto" w:sz="6" w:space="0"/>
              <w:bottom w:val="single" w:color="auto" w:sz="6" w:space="0"/>
              <w:right w:val="single" w:color="auto" w:sz="12" w:space="0"/>
            </w:tcBorders>
            <w:vAlign w:val="center"/>
          </w:tcPr>
          <w:p w14:paraId="7EA1CBFF">
            <w:pPr>
              <w:keepNext w:val="0"/>
              <w:keepLines w:val="0"/>
              <w:pageBreakBefore w:val="0"/>
              <w:kinsoku/>
              <w:wordWrap/>
              <w:overflowPunct/>
              <w:bidi w:val="0"/>
              <w:adjustRightInd w:val="0"/>
              <w:snapToGrid w:val="0"/>
              <w:spacing w:after="0" w:line="440" w:lineRule="exact"/>
              <w:ind w:firstLine="480" w:firstLineChars="200"/>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湖北国华项目管理咨询有限公司</w:t>
            </w:r>
          </w:p>
        </w:tc>
      </w:tr>
      <w:tr w14:paraId="6868DEC2">
        <w:tblPrEx>
          <w:tblCellMar>
            <w:top w:w="0" w:type="dxa"/>
            <w:left w:w="0" w:type="dxa"/>
            <w:bottom w:w="0" w:type="dxa"/>
            <w:right w:w="0" w:type="dxa"/>
          </w:tblCellMar>
        </w:tblPrEx>
        <w:trPr>
          <w:gridAfter w:val="1"/>
          <w:wAfter w:w="8" w:type="dxa"/>
          <w:trHeight w:val="72" w:hRule="atLeast"/>
          <w:jc w:val="center"/>
        </w:trPr>
        <w:tc>
          <w:tcPr>
            <w:tcW w:w="752" w:type="dxa"/>
            <w:tcBorders>
              <w:top w:val="single" w:color="auto" w:sz="6" w:space="0"/>
              <w:left w:val="single" w:color="auto" w:sz="12" w:space="0"/>
              <w:bottom w:val="single" w:color="auto" w:sz="4" w:space="0"/>
              <w:right w:val="single" w:color="auto" w:sz="6" w:space="0"/>
            </w:tcBorders>
            <w:vAlign w:val="center"/>
          </w:tcPr>
          <w:p w14:paraId="6CC9DE3B">
            <w:pPr>
              <w:keepNext w:val="0"/>
              <w:keepLines w:val="0"/>
              <w:pageBreakBefore w:val="0"/>
              <w:widowControl w:val="0"/>
              <w:kinsoku/>
              <w:wordWrap/>
              <w:overflowPunct/>
              <w:autoSpaceDE w:val="0"/>
              <w:autoSpaceDN w:val="0"/>
              <w:bidi w:val="0"/>
              <w:adjustRightInd w:val="0"/>
              <w:snapToGrid w:val="0"/>
              <w:spacing w:after="0" w:line="440" w:lineRule="exact"/>
              <w:ind w:left="22" w:leftChars="10" w:right="22" w:rightChars="10"/>
              <w:jc w:val="both"/>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2.6</w:t>
            </w:r>
          </w:p>
        </w:tc>
        <w:tc>
          <w:tcPr>
            <w:tcW w:w="2068" w:type="dxa"/>
            <w:tcBorders>
              <w:top w:val="single" w:color="auto" w:sz="6" w:space="0"/>
              <w:left w:val="single" w:color="auto" w:sz="12" w:space="0"/>
              <w:bottom w:val="single" w:color="auto" w:sz="4" w:space="0"/>
              <w:right w:val="single" w:color="auto" w:sz="6" w:space="0"/>
            </w:tcBorders>
            <w:vAlign w:val="center"/>
          </w:tcPr>
          <w:p w14:paraId="175F6D14">
            <w:pPr>
              <w:keepNext w:val="0"/>
              <w:keepLines w:val="0"/>
              <w:pageBreakBefore w:val="0"/>
              <w:kinsoku/>
              <w:wordWrap/>
              <w:overflowPunct/>
              <w:bidi w:val="0"/>
              <w:adjustRightInd w:val="0"/>
              <w:snapToGrid w:val="0"/>
              <w:spacing w:after="0" w:line="440" w:lineRule="exact"/>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供应商</w:t>
            </w:r>
          </w:p>
        </w:tc>
        <w:tc>
          <w:tcPr>
            <w:tcW w:w="6152" w:type="dxa"/>
            <w:tcBorders>
              <w:top w:val="single" w:color="auto" w:sz="6" w:space="0"/>
              <w:left w:val="single" w:color="auto" w:sz="6" w:space="0"/>
              <w:bottom w:val="single" w:color="auto" w:sz="4" w:space="0"/>
              <w:right w:val="single" w:color="auto" w:sz="12" w:space="0"/>
            </w:tcBorders>
            <w:vAlign w:val="center"/>
          </w:tcPr>
          <w:p w14:paraId="42E8649E">
            <w:pPr>
              <w:keepNext w:val="0"/>
              <w:keepLines w:val="0"/>
              <w:pageBreakBefore w:val="0"/>
              <w:kinsoku/>
              <w:wordWrap/>
              <w:overflowPunct/>
              <w:bidi w:val="0"/>
              <w:adjustRightInd w:val="0"/>
              <w:snapToGrid w:val="0"/>
              <w:spacing w:after="0" w:line="440" w:lineRule="exact"/>
              <w:ind w:firstLine="480" w:firstLineChars="200"/>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详见第一章第二条供应商相关要求</w:t>
            </w:r>
          </w:p>
        </w:tc>
      </w:tr>
      <w:tr w14:paraId="52AC013B">
        <w:tblPrEx>
          <w:tblCellMar>
            <w:top w:w="0" w:type="dxa"/>
            <w:left w:w="0" w:type="dxa"/>
            <w:bottom w:w="0" w:type="dxa"/>
            <w:right w:w="0" w:type="dxa"/>
          </w:tblCellMar>
        </w:tblPrEx>
        <w:trPr>
          <w:gridAfter w:val="1"/>
          <w:wAfter w:w="8" w:type="dxa"/>
          <w:trHeight w:val="72" w:hRule="atLeast"/>
          <w:jc w:val="center"/>
        </w:trPr>
        <w:tc>
          <w:tcPr>
            <w:tcW w:w="752" w:type="dxa"/>
            <w:tcBorders>
              <w:top w:val="single" w:color="auto" w:sz="6" w:space="0"/>
              <w:left w:val="single" w:color="auto" w:sz="12" w:space="0"/>
              <w:bottom w:val="single" w:color="auto" w:sz="4" w:space="0"/>
              <w:right w:val="single" w:color="auto" w:sz="6" w:space="0"/>
            </w:tcBorders>
            <w:vAlign w:val="center"/>
          </w:tcPr>
          <w:p w14:paraId="1A369EC2">
            <w:pPr>
              <w:keepNext w:val="0"/>
              <w:keepLines w:val="0"/>
              <w:pageBreakBefore w:val="0"/>
              <w:widowControl w:val="0"/>
              <w:kinsoku/>
              <w:wordWrap/>
              <w:overflowPunct/>
              <w:autoSpaceDE w:val="0"/>
              <w:autoSpaceDN w:val="0"/>
              <w:bidi w:val="0"/>
              <w:adjustRightInd w:val="0"/>
              <w:snapToGrid w:val="0"/>
              <w:spacing w:after="0" w:line="440" w:lineRule="exact"/>
              <w:ind w:left="22" w:leftChars="10" w:right="22" w:rightChars="10"/>
              <w:jc w:val="both"/>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2.7</w:t>
            </w:r>
          </w:p>
        </w:tc>
        <w:tc>
          <w:tcPr>
            <w:tcW w:w="2068" w:type="dxa"/>
            <w:tcBorders>
              <w:top w:val="single" w:color="auto" w:sz="6" w:space="0"/>
              <w:left w:val="single" w:color="auto" w:sz="12" w:space="0"/>
              <w:bottom w:val="single" w:color="auto" w:sz="4" w:space="0"/>
              <w:right w:val="single" w:color="auto" w:sz="6" w:space="0"/>
            </w:tcBorders>
            <w:vAlign w:val="center"/>
          </w:tcPr>
          <w:p w14:paraId="3C7529A1">
            <w:pPr>
              <w:keepNext w:val="0"/>
              <w:keepLines w:val="0"/>
              <w:pageBreakBefore w:val="0"/>
              <w:widowControl w:val="0"/>
              <w:kinsoku/>
              <w:wordWrap/>
              <w:overflowPunct/>
              <w:autoSpaceDE w:val="0"/>
              <w:autoSpaceDN w:val="0"/>
              <w:bidi w:val="0"/>
              <w:adjustRightInd w:val="0"/>
              <w:snapToGrid w:val="0"/>
              <w:spacing w:after="0" w:line="440" w:lineRule="exact"/>
              <w:ind w:left="22" w:leftChars="10" w:right="22" w:rightChars="10"/>
              <w:jc w:val="both"/>
              <w:textAlignment w:val="auto"/>
              <w:rPr>
                <w:rFonts w:ascii="宋体" w:hAnsi="宋体" w:cs="宋体"/>
                <w:color w:val="auto"/>
                <w:kern w:val="2"/>
                <w:sz w:val="24"/>
                <w:szCs w:val="24"/>
                <w:highlight w:val="none"/>
                <w:lang w:val="zh-CN"/>
              </w:rPr>
            </w:pPr>
            <w:r>
              <w:rPr>
                <w:rFonts w:hint="eastAsia" w:ascii="宋体" w:hAnsi="宋体" w:cs="Arial"/>
                <w:color w:val="auto"/>
                <w:kern w:val="2"/>
                <w:sz w:val="24"/>
                <w:szCs w:val="24"/>
                <w:highlight w:val="none"/>
              </w:rPr>
              <w:t>是否接受进口产品</w:t>
            </w:r>
          </w:p>
        </w:tc>
        <w:tc>
          <w:tcPr>
            <w:tcW w:w="6152" w:type="dxa"/>
            <w:tcBorders>
              <w:top w:val="single" w:color="auto" w:sz="6" w:space="0"/>
              <w:left w:val="single" w:color="auto" w:sz="6" w:space="0"/>
              <w:bottom w:val="single" w:color="auto" w:sz="4" w:space="0"/>
              <w:right w:val="single" w:color="auto" w:sz="12" w:space="0"/>
            </w:tcBorders>
            <w:vAlign w:val="center"/>
          </w:tcPr>
          <w:p w14:paraId="03CC60D8">
            <w:pPr>
              <w:keepNext w:val="0"/>
              <w:keepLines w:val="0"/>
              <w:pageBreakBefore w:val="0"/>
              <w:kinsoku/>
              <w:wordWrap/>
              <w:overflowPunct/>
              <w:bidi w:val="0"/>
              <w:adjustRightInd w:val="0"/>
              <w:snapToGrid w:val="0"/>
              <w:spacing w:after="0" w:line="440" w:lineRule="exact"/>
              <w:textAlignment w:val="auto"/>
              <w:rPr>
                <w:rFonts w:ascii="宋体" w:hAnsi="宋体" w:cs="宋体"/>
                <w:bCs/>
                <w:color w:val="auto"/>
                <w:kern w:val="2"/>
                <w:sz w:val="24"/>
                <w:szCs w:val="24"/>
                <w:highlight w:val="none"/>
              </w:rPr>
            </w:pPr>
            <w:sdt>
              <w:sdtPr>
                <w:rPr>
                  <w:rFonts w:hint="eastAsia" w:ascii="宋体" w:hAnsi="宋体" w:eastAsia="等线" w:cs="宋体"/>
                  <w:bCs/>
                  <w:color w:val="auto"/>
                  <w:kern w:val="2"/>
                  <w:sz w:val="24"/>
                  <w:szCs w:val="24"/>
                  <w:highlight w:val="none"/>
                </w:rPr>
                <w:id w:val="-415863091"/>
                <w14:checkbox>
                  <w14:checked w14:val="1"/>
                  <w14:checkedState w14:val="0052" w14:font="Wingdings 2"/>
                  <w14:uncheckedState w14:val="00A3" w14:font="Wingdings 2"/>
                </w14:checkbox>
              </w:sdtPr>
              <w:sdtEndPr>
                <w:rPr>
                  <w:rFonts w:hint="eastAsia" w:ascii="宋体" w:hAnsi="宋体" w:eastAsia="等线" w:cs="宋体"/>
                  <w:bCs/>
                  <w:color w:val="auto"/>
                  <w:kern w:val="2"/>
                  <w:sz w:val="24"/>
                  <w:szCs w:val="24"/>
                  <w:highlight w:val="none"/>
                </w:rPr>
              </w:sdtEndPr>
              <w:sdtContent>
                <w:r>
                  <w:rPr>
                    <w:rFonts w:ascii="Wingdings 2" w:hAnsi="Wingdings 2" w:eastAsia="等线" w:cs="宋体"/>
                    <w:bCs/>
                    <w:color w:val="auto"/>
                    <w:kern w:val="2"/>
                    <w:sz w:val="24"/>
                    <w:szCs w:val="24"/>
                    <w:highlight w:val="none"/>
                    <w:lang w:val="en-US" w:eastAsia="zh-CN" w:bidi="ar-SA"/>
                  </w:rPr>
                  <w:t>R</w:t>
                </w:r>
              </w:sdtContent>
            </w:sdt>
            <w:r>
              <w:rPr>
                <w:rFonts w:hint="eastAsia" w:ascii="宋体" w:hAnsi="宋体" w:eastAsia="宋体" w:cs="宋体"/>
                <w:color w:val="auto"/>
                <w:kern w:val="2"/>
                <w:sz w:val="24"/>
                <w:szCs w:val="24"/>
                <w:highlight w:val="none"/>
              </w:rPr>
              <w:t>不接受</w:t>
            </w:r>
          </w:p>
        </w:tc>
      </w:tr>
      <w:tr w14:paraId="7C78D28A">
        <w:tblPrEx>
          <w:tblCellMar>
            <w:top w:w="0" w:type="dxa"/>
            <w:left w:w="0" w:type="dxa"/>
            <w:bottom w:w="0" w:type="dxa"/>
            <w:right w:w="0" w:type="dxa"/>
          </w:tblCellMar>
        </w:tblPrEx>
        <w:trPr>
          <w:gridAfter w:val="1"/>
          <w:wAfter w:w="8" w:type="dxa"/>
          <w:trHeight w:val="72" w:hRule="atLeast"/>
          <w:jc w:val="center"/>
        </w:trPr>
        <w:tc>
          <w:tcPr>
            <w:tcW w:w="752" w:type="dxa"/>
            <w:tcBorders>
              <w:top w:val="single" w:color="auto" w:sz="6" w:space="0"/>
              <w:left w:val="single" w:color="auto" w:sz="12" w:space="0"/>
              <w:bottom w:val="single" w:color="auto" w:sz="4" w:space="0"/>
              <w:right w:val="single" w:color="auto" w:sz="6" w:space="0"/>
            </w:tcBorders>
            <w:vAlign w:val="center"/>
          </w:tcPr>
          <w:p w14:paraId="2BB80834">
            <w:pPr>
              <w:keepNext w:val="0"/>
              <w:keepLines w:val="0"/>
              <w:pageBreakBefore w:val="0"/>
              <w:widowControl w:val="0"/>
              <w:kinsoku/>
              <w:wordWrap/>
              <w:overflowPunct/>
              <w:autoSpaceDE w:val="0"/>
              <w:autoSpaceDN w:val="0"/>
              <w:bidi w:val="0"/>
              <w:adjustRightInd w:val="0"/>
              <w:snapToGrid w:val="0"/>
              <w:spacing w:after="0" w:line="440" w:lineRule="exact"/>
              <w:ind w:left="22" w:leftChars="10" w:right="22" w:rightChars="10"/>
              <w:jc w:val="both"/>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3</w:t>
            </w:r>
          </w:p>
        </w:tc>
        <w:tc>
          <w:tcPr>
            <w:tcW w:w="2068" w:type="dxa"/>
            <w:tcBorders>
              <w:top w:val="single" w:color="auto" w:sz="6" w:space="0"/>
              <w:left w:val="single" w:color="auto" w:sz="12" w:space="0"/>
              <w:bottom w:val="single" w:color="auto" w:sz="4" w:space="0"/>
              <w:right w:val="single" w:color="auto" w:sz="6" w:space="0"/>
            </w:tcBorders>
            <w:vAlign w:val="center"/>
          </w:tcPr>
          <w:p w14:paraId="4E1F8F94">
            <w:pPr>
              <w:keepNext w:val="0"/>
              <w:keepLines w:val="0"/>
              <w:pageBreakBefore w:val="0"/>
              <w:kinsoku/>
              <w:wordWrap/>
              <w:overflowPunct/>
              <w:bidi w:val="0"/>
              <w:adjustRightInd w:val="0"/>
              <w:snapToGrid w:val="0"/>
              <w:spacing w:after="0" w:line="440" w:lineRule="exact"/>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项目属性</w:t>
            </w:r>
          </w:p>
        </w:tc>
        <w:tc>
          <w:tcPr>
            <w:tcW w:w="6152" w:type="dxa"/>
            <w:tcBorders>
              <w:top w:val="single" w:color="auto" w:sz="6" w:space="0"/>
              <w:left w:val="single" w:color="auto" w:sz="6" w:space="0"/>
              <w:bottom w:val="single" w:color="auto" w:sz="4" w:space="0"/>
              <w:right w:val="single" w:color="auto" w:sz="12" w:space="0"/>
            </w:tcBorders>
            <w:vAlign w:val="center"/>
          </w:tcPr>
          <w:p w14:paraId="2BD3EEB1">
            <w:pPr>
              <w:keepNext w:val="0"/>
              <w:keepLines w:val="0"/>
              <w:pageBreakBefore w:val="0"/>
              <w:kinsoku/>
              <w:wordWrap/>
              <w:overflowPunct/>
              <w:bidi w:val="0"/>
              <w:adjustRightInd w:val="0"/>
              <w:snapToGrid w:val="0"/>
              <w:spacing w:after="0" w:line="440" w:lineRule="exact"/>
              <w:ind w:firstLine="480" w:firstLineChars="200"/>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服务</w:t>
            </w:r>
          </w:p>
        </w:tc>
      </w:tr>
      <w:tr w14:paraId="7A60B93A">
        <w:tblPrEx>
          <w:tblCellMar>
            <w:top w:w="0" w:type="dxa"/>
            <w:left w:w="0" w:type="dxa"/>
            <w:bottom w:w="0" w:type="dxa"/>
            <w:right w:w="0" w:type="dxa"/>
          </w:tblCellMar>
        </w:tblPrEx>
        <w:trPr>
          <w:gridAfter w:val="1"/>
          <w:wAfter w:w="8" w:type="dxa"/>
          <w:trHeight w:val="72" w:hRule="atLeast"/>
          <w:jc w:val="center"/>
        </w:trPr>
        <w:tc>
          <w:tcPr>
            <w:tcW w:w="752" w:type="dxa"/>
            <w:tcBorders>
              <w:top w:val="single" w:color="auto" w:sz="6" w:space="0"/>
              <w:left w:val="single" w:color="auto" w:sz="12" w:space="0"/>
              <w:bottom w:val="single" w:color="auto" w:sz="4" w:space="0"/>
              <w:right w:val="single" w:color="auto" w:sz="6" w:space="0"/>
            </w:tcBorders>
            <w:vAlign w:val="center"/>
          </w:tcPr>
          <w:p w14:paraId="4231FAF5">
            <w:pPr>
              <w:keepNext w:val="0"/>
              <w:keepLines w:val="0"/>
              <w:pageBreakBefore w:val="0"/>
              <w:widowControl w:val="0"/>
              <w:kinsoku/>
              <w:wordWrap/>
              <w:overflowPunct/>
              <w:autoSpaceDE w:val="0"/>
              <w:autoSpaceDN w:val="0"/>
              <w:bidi w:val="0"/>
              <w:adjustRightInd w:val="0"/>
              <w:snapToGrid w:val="0"/>
              <w:spacing w:after="0" w:line="440" w:lineRule="exact"/>
              <w:ind w:left="22" w:leftChars="10" w:right="22" w:rightChars="10"/>
              <w:jc w:val="both"/>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4.2</w:t>
            </w:r>
          </w:p>
        </w:tc>
        <w:tc>
          <w:tcPr>
            <w:tcW w:w="2068" w:type="dxa"/>
            <w:tcBorders>
              <w:top w:val="single" w:color="auto" w:sz="6" w:space="0"/>
              <w:left w:val="single" w:color="auto" w:sz="12" w:space="0"/>
              <w:bottom w:val="single" w:color="auto" w:sz="4" w:space="0"/>
              <w:right w:val="single" w:color="auto" w:sz="6" w:space="0"/>
            </w:tcBorders>
            <w:vAlign w:val="center"/>
          </w:tcPr>
          <w:p w14:paraId="1275688A">
            <w:pPr>
              <w:keepNext w:val="0"/>
              <w:keepLines w:val="0"/>
              <w:pageBreakBefore w:val="0"/>
              <w:kinsoku/>
              <w:wordWrap/>
              <w:overflowPunct/>
              <w:bidi w:val="0"/>
              <w:adjustRightInd w:val="0"/>
              <w:snapToGrid w:val="0"/>
              <w:spacing w:after="0" w:line="440" w:lineRule="exact"/>
              <w:textAlignment w:val="auto"/>
              <w:rPr>
                <w:rFonts w:ascii="宋体" w:hAnsi="宋体" w:cs="宋体"/>
                <w:color w:val="auto"/>
                <w:kern w:val="2"/>
                <w:sz w:val="24"/>
                <w:szCs w:val="24"/>
                <w:highlight w:val="none"/>
                <w:lang w:val="zh-CN"/>
              </w:rPr>
            </w:pPr>
            <w:r>
              <w:rPr>
                <w:rFonts w:hint="eastAsia" w:ascii="宋体" w:hAnsi="宋体" w:cs="宋体"/>
                <w:color w:val="auto"/>
                <w:sz w:val="24"/>
                <w:szCs w:val="24"/>
                <w:highlight w:val="none"/>
                <w:lang w:val="zh-CN"/>
              </w:rPr>
              <w:t>平台服务费</w:t>
            </w:r>
          </w:p>
        </w:tc>
        <w:tc>
          <w:tcPr>
            <w:tcW w:w="6152" w:type="dxa"/>
            <w:tcBorders>
              <w:top w:val="single" w:color="auto" w:sz="6" w:space="0"/>
              <w:left w:val="single" w:color="auto" w:sz="6" w:space="0"/>
              <w:bottom w:val="single" w:color="auto" w:sz="4" w:space="0"/>
              <w:right w:val="single" w:color="auto" w:sz="12" w:space="0"/>
            </w:tcBorders>
            <w:vAlign w:val="center"/>
          </w:tcPr>
          <w:p w14:paraId="32081029">
            <w:pPr>
              <w:keepNext w:val="0"/>
              <w:keepLines w:val="0"/>
              <w:pageBreakBefore w:val="0"/>
              <w:kinsoku/>
              <w:wordWrap/>
              <w:overflowPunct/>
              <w:bidi w:val="0"/>
              <w:spacing w:after="0" w:line="440" w:lineRule="exact"/>
              <w:textAlignment w:val="auto"/>
              <w:rPr>
                <w:rFonts w:ascii="宋体" w:hAnsi="宋体" w:cs="宋体"/>
                <w:color w:val="auto"/>
                <w:sz w:val="24"/>
                <w:szCs w:val="24"/>
                <w:highlight w:val="none"/>
              </w:rPr>
            </w:pPr>
            <w:sdt>
              <w:sdtPr>
                <w:rPr>
                  <w:rFonts w:hint="eastAsia" w:ascii="宋体" w:hAnsi="宋体"/>
                  <w:color w:val="auto"/>
                  <w:sz w:val="24"/>
                  <w:szCs w:val="24"/>
                  <w:highlight w:val="none"/>
                </w:rPr>
                <w:id w:val="-1138720566"/>
                <w14:checkbox>
                  <w14:checked w14:val="1"/>
                  <w14:checkedState w14:val="0052" w14:font="Wingdings 2"/>
                  <w14:uncheckedState w14:val="00A3" w14:font="Wingdings 2"/>
                </w14:checkbox>
              </w:sdtPr>
              <w:sdtEndPr>
                <w:rPr>
                  <w:rFonts w:hint="eastAsia" w:ascii="宋体" w:hAnsi="宋体"/>
                  <w:color w:val="auto"/>
                  <w:sz w:val="24"/>
                  <w:szCs w:val="24"/>
                  <w:highlight w:val="none"/>
                </w:rPr>
              </w:sdtEndPr>
              <w:sdtContent>
                <w:r>
                  <w:rPr>
                    <w:rFonts w:ascii="Wingdings 2" w:hAnsi="Wingdings 2" w:eastAsia="宋体" w:cs="Times New Roman"/>
                    <w:color w:val="auto"/>
                    <w:kern w:val="0"/>
                    <w:sz w:val="24"/>
                    <w:szCs w:val="24"/>
                    <w:highlight w:val="none"/>
                    <w:lang w:val="en-US" w:eastAsia="zh-CN" w:bidi="ar-SA"/>
                  </w:rPr>
                  <w:t>R</w:t>
                </w:r>
              </w:sdtContent>
            </w:sdt>
            <w:r>
              <w:rPr>
                <w:rFonts w:hint="eastAsia" w:ascii="宋体" w:hAnsi="宋体"/>
                <w:color w:val="auto"/>
                <w:sz w:val="24"/>
                <w:szCs w:val="24"/>
                <w:highlight w:val="none"/>
              </w:rPr>
              <w:t>不收取</w:t>
            </w:r>
          </w:p>
        </w:tc>
      </w:tr>
      <w:tr w14:paraId="071053E8">
        <w:tblPrEx>
          <w:tblCellMar>
            <w:top w:w="0" w:type="dxa"/>
            <w:left w:w="0" w:type="dxa"/>
            <w:bottom w:w="0" w:type="dxa"/>
            <w:right w:w="0" w:type="dxa"/>
          </w:tblCellMar>
        </w:tblPrEx>
        <w:trPr>
          <w:gridAfter w:val="1"/>
          <w:wAfter w:w="8" w:type="dxa"/>
          <w:trHeight w:val="72" w:hRule="atLeast"/>
          <w:jc w:val="center"/>
        </w:trPr>
        <w:tc>
          <w:tcPr>
            <w:tcW w:w="752" w:type="dxa"/>
            <w:tcBorders>
              <w:top w:val="single" w:color="auto" w:sz="6" w:space="0"/>
              <w:left w:val="single" w:color="auto" w:sz="12" w:space="0"/>
              <w:bottom w:val="single" w:color="auto" w:sz="4" w:space="0"/>
              <w:right w:val="single" w:color="auto" w:sz="6" w:space="0"/>
            </w:tcBorders>
            <w:vAlign w:val="center"/>
          </w:tcPr>
          <w:p w14:paraId="6BAED915">
            <w:pPr>
              <w:keepNext w:val="0"/>
              <w:keepLines w:val="0"/>
              <w:pageBreakBefore w:val="0"/>
              <w:widowControl w:val="0"/>
              <w:kinsoku/>
              <w:wordWrap/>
              <w:overflowPunct/>
              <w:autoSpaceDE w:val="0"/>
              <w:autoSpaceDN w:val="0"/>
              <w:bidi w:val="0"/>
              <w:adjustRightInd w:val="0"/>
              <w:snapToGrid w:val="0"/>
              <w:spacing w:after="0" w:line="440" w:lineRule="exact"/>
              <w:ind w:left="22" w:leftChars="10" w:right="22" w:rightChars="10"/>
              <w:jc w:val="both"/>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4.3</w:t>
            </w:r>
          </w:p>
        </w:tc>
        <w:tc>
          <w:tcPr>
            <w:tcW w:w="2068" w:type="dxa"/>
            <w:tcBorders>
              <w:top w:val="single" w:color="auto" w:sz="6" w:space="0"/>
              <w:left w:val="single" w:color="auto" w:sz="12" w:space="0"/>
              <w:bottom w:val="single" w:color="auto" w:sz="4" w:space="0"/>
              <w:right w:val="single" w:color="auto" w:sz="6" w:space="0"/>
            </w:tcBorders>
            <w:vAlign w:val="center"/>
          </w:tcPr>
          <w:p w14:paraId="2DCAF3F0">
            <w:pPr>
              <w:keepNext w:val="0"/>
              <w:keepLines w:val="0"/>
              <w:pageBreakBefore w:val="0"/>
              <w:kinsoku/>
              <w:wordWrap/>
              <w:overflowPunct/>
              <w:bidi w:val="0"/>
              <w:adjustRightInd w:val="0"/>
              <w:snapToGrid w:val="0"/>
              <w:spacing w:after="0" w:line="440" w:lineRule="exact"/>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代理服务费</w:t>
            </w:r>
          </w:p>
        </w:tc>
        <w:tc>
          <w:tcPr>
            <w:tcW w:w="6152" w:type="dxa"/>
            <w:tcBorders>
              <w:top w:val="single" w:color="auto" w:sz="6" w:space="0"/>
              <w:left w:val="single" w:color="auto" w:sz="6" w:space="0"/>
              <w:bottom w:val="single" w:color="auto" w:sz="4" w:space="0"/>
              <w:right w:val="single" w:color="auto" w:sz="12" w:space="0"/>
            </w:tcBorders>
            <w:vAlign w:val="center"/>
          </w:tcPr>
          <w:p w14:paraId="5DFD1B06">
            <w:pPr>
              <w:keepNext w:val="0"/>
              <w:keepLines w:val="0"/>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zh-CN"/>
              </w:rPr>
              <w:t>除非采购文件另有规定，本项目代理服务费由成交供应商承担，采购人不另行支付。供应商报价时应考虑代理服务费因素，代理服务费不列入报价单内。</w:t>
            </w:r>
            <w:r>
              <w:rPr>
                <w:rFonts w:hint="eastAsia" w:ascii="宋体" w:hAnsi="宋体" w:cs="宋体"/>
                <w:color w:val="auto"/>
                <w:kern w:val="2"/>
                <w:sz w:val="24"/>
                <w:szCs w:val="24"/>
                <w:highlight w:val="none"/>
                <w:lang w:val="zh-CN"/>
              </w:rPr>
              <w:cr/>
            </w:r>
            <w:r>
              <w:rPr>
                <w:rFonts w:hint="eastAsia" w:ascii="宋体" w:hAnsi="宋体" w:cs="宋体"/>
                <w:color w:val="auto"/>
                <w:kern w:val="2"/>
                <w:sz w:val="24"/>
                <w:szCs w:val="24"/>
                <w:highlight w:val="none"/>
                <w:lang w:val="en-US" w:eastAsia="zh-CN"/>
              </w:rPr>
              <w:t xml:space="preserve">    本项目招标代理服务费金额：</w:t>
            </w:r>
            <w:r>
              <w:rPr>
                <w:rFonts w:hint="eastAsia" w:ascii="宋体" w:hAnsi="宋体" w:cs="宋体"/>
                <w:color w:val="auto"/>
                <w:kern w:val="2"/>
                <w:sz w:val="24"/>
                <w:szCs w:val="24"/>
                <w:highlight w:val="none"/>
                <w:u w:val="single"/>
                <w:lang w:val="en-US" w:eastAsia="zh-CN"/>
              </w:rPr>
              <w:t>4000</w:t>
            </w:r>
            <w:r>
              <w:rPr>
                <w:rFonts w:hint="eastAsia" w:ascii="宋体" w:hAnsi="宋体" w:cs="宋体"/>
                <w:color w:val="auto"/>
                <w:kern w:val="2"/>
                <w:sz w:val="24"/>
                <w:szCs w:val="24"/>
                <w:highlight w:val="none"/>
                <w:lang w:val="en-US" w:eastAsia="zh-CN"/>
              </w:rPr>
              <w:t>元整。</w:t>
            </w:r>
          </w:p>
          <w:p w14:paraId="5202910A">
            <w:pPr>
              <w:keepNext w:val="0"/>
              <w:keepLines w:val="0"/>
              <w:pageBreakBefore w:val="0"/>
              <w:kinsoku/>
              <w:wordWrap/>
              <w:overflowPunct/>
              <w:bidi w:val="0"/>
              <w:adjustRightInd w:val="0"/>
              <w:snapToGrid w:val="0"/>
              <w:spacing w:after="0" w:line="440" w:lineRule="exact"/>
              <w:ind w:firstLine="480" w:firstLineChars="200"/>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采购代理服务费由成交供应商在领取成交通知书的同时向采购代理机构支付，并同时领取发票。</w:t>
            </w:r>
          </w:p>
          <w:p w14:paraId="478320FF">
            <w:pPr>
              <w:keepNext w:val="0"/>
              <w:keepLines w:val="0"/>
              <w:pageBreakBefore w:val="0"/>
              <w:kinsoku/>
              <w:wordWrap/>
              <w:overflowPunct/>
              <w:bidi w:val="0"/>
              <w:adjustRightInd w:val="0"/>
              <w:snapToGrid w:val="0"/>
              <w:spacing w:after="0" w:line="440" w:lineRule="exact"/>
              <w:ind w:firstLine="480" w:firstLineChars="200"/>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采购代理机构银行账户信息：</w:t>
            </w:r>
          </w:p>
          <w:p w14:paraId="5C498825">
            <w:pPr>
              <w:keepNext w:val="0"/>
              <w:keepLines w:val="0"/>
              <w:pageBreakBefore w:val="0"/>
              <w:kinsoku/>
              <w:wordWrap/>
              <w:overflowPunct/>
              <w:bidi w:val="0"/>
              <w:adjustRightInd w:val="0"/>
              <w:snapToGrid w:val="0"/>
              <w:spacing w:after="0" w:line="440" w:lineRule="exact"/>
              <w:ind w:firstLine="480" w:firstLineChars="200"/>
              <w:textAlignment w:val="auto"/>
              <w:rPr>
                <w:rFonts w:hint="eastAsia"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户  名：湖北国华项目管理咨询有限公司</w:t>
            </w:r>
          </w:p>
          <w:p w14:paraId="1C976BE8">
            <w:pPr>
              <w:keepNext w:val="0"/>
              <w:keepLines w:val="0"/>
              <w:pageBreakBefore w:val="0"/>
              <w:kinsoku/>
              <w:wordWrap/>
              <w:overflowPunct/>
              <w:bidi w:val="0"/>
              <w:adjustRightInd w:val="0"/>
              <w:snapToGrid w:val="0"/>
              <w:spacing w:after="0" w:line="440" w:lineRule="exact"/>
              <w:ind w:firstLine="480" w:firstLineChars="200"/>
              <w:textAlignment w:val="auto"/>
              <w:rPr>
                <w:rFonts w:hint="eastAsia"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开户行：民生银行武汉中南支行</w:t>
            </w:r>
          </w:p>
          <w:p w14:paraId="3EF802F7">
            <w:pPr>
              <w:keepNext w:val="0"/>
              <w:keepLines w:val="0"/>
              <w:pageBreakBefore w:val="0"/>
              <w:kinsoku/>
              <w:wordWrap/>
              <w:overflowPunct/>
              <w:bidi w:val="0"/>
              <w:adjustRightInd w:val="0"/>
              <w:snapToGrid w:val="0"/>
              <w:spacing w:after="0" w:line="440" w:lineRule="exact"/>
              <w:ind w:firstLine="480" w:firstLineChars="200"/>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账  号：0505014210005225</w:t>
            </w:r>
          </w:p>
          <w:p w14:paraId="47F1171B">
            <w:pPr>
              <w:keepNext w:val="0"/>
              <w:keepLines w:val="0"/>
              <w:pageBreakBefore w:val="0"/>
              <w:kinsoku/>
              <w:wordWrap/>
              <w:overflowPunct/>
              <w:bidi w:val="0"/>
              <w:adjustRightInd w:val="0"/>
              <w:snapToGrid w:val="0"/>
              <w:spacing w:after="0" w:line="440" w:lineRule="exact"/>
              <w:ind w:firstLine="480" w:firstLineChars="200"/>
              <w:textAlignment w:val="auto"/>
              <w:rPr>
                <w:rFonts w:ascii="宋体" w:hAnsi="宋体" w:cs="宋体"/>
                <w:color w:val="auto"/>
                <w:kern w:val="2"/>
                <w:sz w:val="24"/>
                <w:szCs w:val="24"/>
                <w:highlight w:val="none"/>
                <w:lang w:val="zh-CN"/>
              </w:rPr>
            </w:pPr>
            <w:r>
              <w:rPr>
                <w:rFonts w:hint="eastAsia" w:ascii="宋体" w:hAnsi="宋体"/>
                <w:color w:val="auto"/>
                <w:kern w:val="2"/>
                <w:sz w:val="24"/>
                <w:szCs w:val="24"/>
                <w:highlight w:val="none"/>
                <w:lang w:val="zh-CN"/>
              </w:rPr>
              <w:t>其他事项：成交供应商开具代理服务费发票时需提供以下开票信息：</w:t>
            </w:r>
            <w:r>
              <w:rPr>
                <w:rFonts w:ascii="宋体" w:hAnsi="宋体"/>
                <w:color w:val="auto"/>
                <w:kern w:val="2"/>
                <w:sz w:val="24"/>
                <w:szCs w:val="24"/>
                <w:highlight w:val="none"/>
                <w:lang w:val="zh-CN"/>
              </w:rPr>
              <w:t>1）开票单位全称、2）纳税人识别号（或统一社会信用代码）、3）营业执照地址、4）单位联系电话、5）开户行及账号</w:t>
            </w:r>
          </w:p>
        </w:tc>
      </w:tr>
      <w:tr w14:paraId="0DD4160E">
        <w:tblPrEx>
          <w:tblCellMar>
            <w:top w:w="0" w:type="dxa"/>
            <w:left w:w="0" w:type="dxa"/>
            <w:bottom w:w="0" w:type="dxa"/>
            <w:right w:w="0" w:type="dxa"/>
          </w:tblCellMar>
        </w:tblPrEx>
        <w:trPr>
          <w:gridAfter w:val="1"/>
          <w:wAfter w:w="8" w:type="dxa"/>
          <w:trHeight w:val="72" w:hRule="atLeast"/>
          <w:jc w:val="center"/>
        </w:trPr>
        <w:tc>
          <w:tcPr>
            <w:tcW w:w="752" w:type="dxa"/>
            <w:tcBorders>
              <w:top w:val="single" w:color="auto" w:sz="6" w:space="0"/>
              <w:left w:val="single" w:color="auto" w:sz="12" w:space="0"/>
              <w:bottom w:val="single" w:color="auto" w:sz="4" w:space="0"/>
              <w:right w:val="single" w:color="auto" w:sz="6" w:space="0"/>
            </w:tcBorders>
            <w:vAlign w:val="center"/>
          </w:tcPr>
          <w:p w14:paraId="186FB0BE">
            <w:pPr>
              <w:keepNext w:val="0"/>
              <w:keepLines w:val="0"/>
              <w:pageBreakBefore w:val="0"/>
              <w:widowControl w:val="0"/>
              <w:kinsoku/>
              <w:wordWrap/>
              <w:overflowPunct/>
              <w:autoSpaceDE w:val="0"/>
              <w:autoSpaceDN w:val="0"/>
              <w:bidi w:val="0"/>
              <w:adjustRightInd w:val="0"/>
              <w:snapToGrid w:val="0"/>
              <w:spacing w:after="0" w:line="440" w:lineRule="exact"/>
              <w:ind w:left="22" w:leftChars="10" w:right="22" w:rightChars="10"/>
              <w:jc w:val="both"/>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6.2</w:t>
            </w:r>
          </w:p>
        </w:tc>
        <w:tc>
          <w:tcPr>
            <w:tcW w:w="2068" w:type="dxa"/>
            <w:tcBorders>
              <w:top w:val="single" w:color="auto" w:sz="6" w:space="0"/>
              <w:left w:val="single" w:color="auto" w:sz="12" w:space="0"/>
              <w:bottom w:val="single" w:color="auto" w:sz="4" w:space="0"/>
              <w:right w:val="single" w:color="auto" w:sz="6" w:space="0"/>
            </w:tcBorders>
            <w:vAlign w:val="center"/>
          </w:tcPr>
          <w:p w14:paraId="0FDC2B1D">
            <w:pPr>
              <w:keepNext w:val="0"/>
              <w:keepLines w:val="0"/>
              <w:pageBreakBefore w:val="0"/>
              <w:kinsoku/>
              <w:wordWrap/>
              <w:overflowPunct/>
              <w:bidi w:val="0"/>
              <w:adjustRightInd w:val="0"/>
              <w:snapToGrid w:val="0"/>
              <w:spacing w:after="0" w:line="440" w:lineRule="exact"/>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提疑截止时间</w:t>
            </w:r>
          </w:p>
        </w:tc>
        <w:tc>
          <w:tcPr>
            <w:tcW w:w="6152" w:type="dxa"/>
            <w:tcBorders>
              <w:top w:val="single" w:color="auto" w:sz="6" w:space="0"/>
              <w:left w:val="single" w:color="auto" w:sz="6" w:space="0"/>
              <w:bottom w:val="single" w:color="auto" w:sz="4" w:space="0"/>
              <w:right w:val="single" w:color="auto" w:sz="12" w:space="0"/>
            </w:tcBorders>
            <w:vAlign w:val="center"/>
          </w:tcPr>
          <w:p w14:paraId="0C6EB2F5">
            <w:pPr>
              <w:keepNext w:val="0"/>
              <w:keepLines w:val="0"/>
              <w:pageBreakBefore w:val="0"/>
              <w:kinsoku/>
              <w:wordWrap/>
              <w:overflowPunct/>
              <w:bidi w:val="0"/>
              <w:adjustRightInd w:val="0"/>
              <w:snapToGrid w:val="0"/>
              <w:spacing w:after="0" w:line="440" w:lineRule="exact"/>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采购文件发售截止日期次日上午10:00（北京时间）</w:t>
            </w:r>
          </w:p>
        </w:tc>
      </w:tr>
      <w:tr w14:paraId="050E2565">
        <w:tblPrEx>
          <w:tblCellMar>
            <w:top w:w="0" w:type="dxa"/>
            <w:left w:w="0" w:type="dxa"/>
            <w:bottom w:w="0" w:type="dxa"/>
            <w:right w:w="0" w:type="dxa"/>
          </w:tblCellMar>
        </w:tblPrEx>
        <w:trPr>
          <w:gridAfter w:val="1"/>
          <w:wAfter w:w="8" w:type="dxa"/>
          <w:trHeight w:val="72" w:hRule="atLeast"/>
          <w:jc w:val="center"/>
        </w:trPr>
        <w:tc>
          <w:tcPr>
            <w:tcW w:w="752" w:type="dxa"/>
            <w:tcBorders>
              <w:top w:val="single" w:color="auto" w:sz="6" w:space="0"/>
              <w:left w:val="single" w:color="auto" w:sz="12" w:space="0"/>
              <w:bottom w:val="single" w:color="auto" w:sz="4" w:space="0"/>
              <w:right w:val="single" w:color="auto" w:sz="6" w:space="0"/>
            </w:tcBorders>
            <w:vAlign w:val="center"/>
          </w:tcPr>
          <w:p w14:paraId="1C5EE1A4">
            <w:pPr>
              <w:keepNext w:val="0"/>
              <w:keepLines w:val="0"/>
              <w:pageBreakBefore w:val="0"/>
              <w:widowControl w:val="0"/>
              <w:kinsoku/>
              <w:wordWrap/>
              <w:overflowPunct/>
              <w:autoSpaceDE w:val="0"/>
              <w:autoSpaceDN w:val="0"/>
              <w:bidi w:val="0"/>
              <w:adjustRightInd w:val="0"/>
              <w:snapToGrid w:val="0"/>
              <w:spacing w:after="0" w:line="440" w:lineRule="exact"/>
              <w:ind w:left="22" w:leftChars="10" w:right="22" w:rightChars="10"/>
              <w:jc w:val="both"/>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rPr>
              <w:t>6.4</w:t>
            </w:r>
          </w:p>
        </w:tc>
        <w:tc>
          <w:tcPr>
            <w:tcW w:w="2068" w:type="dxa"/>
            <w:tcBorders>
              <w:top w:val="single" w:color="auto" w:sz="6" w:space="0"/>
              <w:left w:val="single" w:color="auto" w:sz="12" w:space="0"/>
              <w:bottom w:val="single" w:color="auto" w:sz="4" w:space="0"/>
              <w:right w:val="single" w:color="auto" w:sz="6" w:space="0"/>
            </w:tcBorders>
            <w:vAlign w:val="center"/>
          </w:tcPr>
          <w:p w14:paraId="7F032026">
            <w:pPr>
              <w:keepNext w:val="0"/>
              <w:keepLines w:val="0"/>
              <w:pageBreakBefore w:val="0"/>
              <w:kinsoku/>
              <w:wordWrap/>
              <w:overflowPunct/>
              <w:bidi w:val="0"/>
              <w:adjustRightInd w:val="0"/>
              <w:snapToGrid w:val="0"/>
              <w:spacing w:after="0" w:line="440" w:lineRule="exact"/>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磋商前答疑会</w:t>
            </w:r>
          </w:p>
        </w:tc>
        <w:tc>
          <w:tcPr>
            <w:tcW w:w="6152" w:type="dxa"/>
            <w:tcBorders>
              <w:top w:val="single" w:color="auto" w:sz="6" w:space="0"/>
              <w:left w:val="single" w:color="auto" w:sz="6" w:space="0"/>
              <w:bottom w:val="single" w:color="auto" w:sz="4" w:space="0"/>
              <w:right w:val="single" w:color="auto" w:sz="12" w:space="0"/>
            </w:tcBorders>
            <w:vAlign w:val="center"/>
          </w:tcPr>
          <w:p w14:paraId="00BD9BC9">
            <w:pPr>
              <w:keepNext w:val="0"/>
              <w:keepLines w:val="0"/>
              <w:pageBreakBefore w:val="0"/>
              <w:tabs>
                <w:tab w:val="left" w:pos="577"/>
              </w:tabs>
              <w:kinsoku/>
              <w:wordWrap/>
              <w:overflowPunct/>
              <w:bidi w:val="0"/>
              <w:adjustRightInd w:val="0"/>
              <w:snapToGrid w:val="0"/>
              <w:spacing w:after="0" w:line="440" w:lineRule="exact"/>
              <w:jc w:val="both"/>
              <w:textAlignment w:val="auto"/>
              <w:rPr>
                <w:rFonts w:ascii="宋体" w:hAnsi="宋体"/>
                <w:color w:val="auto"/>
                <w:kern w:val="2"/>
                <w:sz w:val="24"/>
                <w:szCs w:val="24"/>
                <w:highlight w:val="none"/>
                <w:lang w:val="zh-CN"/>
              </w:rPr>
            </w:pPr>
            <w:sdt>
              <w:sdtPr>
                <w:rPr>
                  <w:rFonts w:hint="eastAsia" w:ascii="宋体" w:hAnsi="宋体"/>
                  <w:color w:val="auto"/>
                  <w:kern w:val="2"/>
                  <w:sz w:val="24"/>
                  <w:szCs w:val="24"/>
                  <w:highlight w:val="none"/>
                </w:rPr>
                <w:id w:val="-1581045813"/>
                <w14:checkbox>
                  <w14:checked w14:val="1"/>
                  <w14:checkedState w14:val="0052" w14:font="Wingdings 2"/>
                  <w14:uncheckedState w14:val="00A3" w14:font="Wingdings 2"/>
                </w14:checkbox>
              </w:sdtPr>
              <w:sdtEndPr>
                <w:rPr>
                  <w:rFonts w:hint="eastAsia" w:ascii="宋体" w:hAnsi="宋体"/>
                  <w:color w:val="auto"/>
                  <w:kern w:val="2"/>
                  <w:sz w:val="24"/>
                  <w:szCs w:val="24"/>
                  <w:highlight w:val="none"/>
                </w:rPr>
              </w:sdtEndPr>
              <w:sdtContent>
                <w:r>
                  <w:rPr>
                    <w:rFonts w:ascii="Wingdings 2" w:hAnsi="Wingdings 2" w:eastAsia="宋体" w:cs="Times New Roman"/>
                    <w:color w:val="auto"/>
                    <w:kern w:val="2"/>
                    <w:sz w:val="24"/>
                    <w:szCs w:val="24"/>
                    <w:highlight w:val="none"/>
                    <w:lang w:val="en-US" w:eastAsia="zh-CN" w:bidi="ar-SA"/>
                  </w:rPr>
                  <w:t>R</w:t>
                </w:r>
              </w:sdtContent>
            </w:sdt>
            <w:r>
              <w:rPr>
                <w:rFonts w:hint="eastAsia" w:ascii="宋体" w:hAnsi="宋体"/>
                <w:color w:val="auto"/>
                <w:kern w:val="2"/>
                <w:sz w:val="24"/>
                <w:szCs w:val="24"/>
                <w:highlight w:val="none"/>
              </w:rPr>
              <w:t>不召开</w:t>
            </w:r>
          </w:p>
        </w:tc>
      </w:tr>
      <w:tr w14:paraId="0D6AFAD9">
        <w:tblPrEx>
          <w:tblCellMar>
            <w:top w:w="0" w:type="dxa"/>
            <w:left w:w="0" w:type="dxa"/>
            <w:bottom w:w="0" w:type="dxa"/>
            <w:right w:w="0" w:type="dxa"/>
          </w:tblCellMar>
        </w:tblPrEx>
        <w:trPr>
          <w:gridAfter w:val="1"/>
          <w:wAfter w:w="8" w:type="dxa"/>
          <w:trHeight w:val="72" w:hRule="atLeast"/>
          <w:jc w:val="center"/>
        </w:trPr>
        <w:tc>
          <w:tcPr>
            <w:tcW w:w="752" w:type="dxa"/>
            <w:tcBorders>
              <w:top w:val="single" w:color="auto" w:sz="6" w:space="0"/>
              <w:left w:val="single" w:color="auto" w:sz="12" w:space="0"/>
              <w:bottom w:val="single" w:color="auto" w:sz="4" w:space="0"/>
              <w:right w:val="single" w:color="auto" w:sz="6" w:space="0"/>
            </w:tcBorders>
            <w:vAlign w:val="center"/>
          </w:tcPr>
          <w:p w14:paraId="0ABD5017">
            <w:pPr>
              <w:keepNext w:val="0"/>
              <w:keepLines w:val="0"/>
              <w:pageBreakBefore w:val="0"/>
              <w:kinsoku/>
              <w:wordWrap/>
              <w:overflowPunct/>
              <w:autoSpaceDE w:val="0"/>
              <w:autoSpaceDN w:val="0"/>
              <w:bidi w:val="0"/>
              <w:adjustRightInd w:val="0"/>
              <w:snapToGrid w:val="0"/>
              <w:spacing w:after="0" w:line="440" w:lineRule="exact"/>
              <w:textAlignment w:val="auto"/>
              <w:rPr>
                <w:rFonts w:ascii="宋体" w:hAnsi="宋体"/>
                <w:color w:val="auto"/>
                <w:kern w:val="2"/>
                <w:sz w:val="24"/>
                <w:szCs w:val="24"/>
                <w:highlight w:val="none"/>
              </w:rPr>
            </w:pPr>
            <w:r>
              <w:rPr>
                <w:rFonts w:hint="eastAsia" w:ascii="宋体" w:hAnsi="宋体"/>
                <w:color w:val="auto"/>
                <w:kern w:val="2"/>
                <w:sz w:val="24"/>
                <w:szCs w:val="24"/>
                <w:highlight w:val="none"/>
              </w:rPr>
              <w:t>8.1</w:t>
            </w:r>
          </w:p>
        </w:tc>
        <w:tc>
          <w:tcPr>
            <w:tcW w:w="2068" w:type="dxa"/>
            <w:tcBorders>
              <w:top w:val="single" w:color="auto" w:sz="6" w:space="0"/>
              <w:left w:val="single" w:color="auto" w:sz="12" w:space="0"/>
              <w:bottom w:val="single" w:color="auto" w:sz="4" w:space="0"/>
              <w:right w:val="single" w:color="auto" w:sz="6" w:space="0"/>
            </w:tcBorders>
            <w:vAlign w:val="center"/>
          </w:tcPr>
          <w:p w14:paraId="1BB62A67">
            <w:pPr>
              <w:keepNext w:val="0"/>
              <w:keepLines w:val="0"/>
              <w:pageBreakBefore w:val="0"/>
              <w:kinsoku/>
              <w:wordWrap/>
              <w:overflowPunct/>
              <w:bidi w:val="0"/>
              <w:adjustRightInd w:val="0"/>
              <w:snapToGrid w:val="0"/>
              <w:spacing w:after="0" w:line="440" w:lineRule="exact"/>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现场</w:t>
            </w:r>
            <w:r>
              <w:rPr>
                <w:rFonts w:hint="eastAsia" w:ascii="宋体" w:hAnsi="宋体" w:cs="宋体"/>
                <w:color w:val="auto"/>
                <w:sz w:val="24"/>
                <w:szCs w:val="24"/>
                <w:highlight w:val="none"/>
                <w:lang w:val="zh-CN"/>
              </w:rPr>
              <w:t>考察</w:t>
            </w:r>
          </w:p>
        </w:tc>
        <w:tc>
          <w:tcPr>
            <w:tcW w:w="6152" w:type="dxa"/>
            <w:tcBorders>
              <w:top w:val="single" w:color="auto" w:sz="6" w:space="0"/>
              <w:left w:val="single" w:color="auto" w:sz="6" w:space="0"/>
              <w:bottom w:val="single" w:color="auto" w:sz="4" w:space="0"/>
              <w:right w:val="single" w:color="auto" w:sz="12" w:space="0"/>
            </w:tcBorders>
            <w:vAlign w:val="center"/>
          </w:tcPr>
          <w:p w14:paraId="7D144368">
            <w:pPr>
              <w:keepNext w:val="0"/>
              <w:keepLines w:val="0"/>
              <w:pageBreakBefore w:val="0"/>
              <w:kinsoku/>
              <w:wordWrap/>
              <w:overflowPunct/>
              <w:bidi w:val="0"/>
              <w:adjustRightInd w:val="0"/>
              <w:snapToGrid w:val="0"/>
              <w:spacing w:after="0" w:line="440" w:lineRule="exact"/>
              <w:textAlignment w:val="auto"/>
              <w:rPr>
                <w:rFonts w:ascii="宋体" w:hAnsi="宋体"/>
                <w:color w:val="auto"/>
                <w:kern w:val="2"/>
                <w:sz w:val="24"/>
                <w:szCs w:val="24"/>
                <w:highlight w:val="none"/>
              </w:rPr>
            </w:pPr>
            <w:sdt>
              <w:sdtPr>
                <w:rPr>
                  <w:rFonts w:hint="eastAsia" w:ascii="宋体" w:hAnsi="宋体"/>
                  <w:color w:val="auto"/>
                  <w:kern w:val="2"/>
                  <w:sz w:val="24"/>
                  <w:szCs w:val="24"/>
                  <w:highlight w:val="none"/>
                </w:rPr>
                <w:id w:val="-1585913999"/>
                <w14:checkbox>
                  <w14:checked w14:val="1"/>
                  <w14:checkedState w14:val="0052" w14:font="Wingdings 2"/>
                  <w14:uncheckedState w14:val="00A3" w14:font="Wingdings 2"/>
                </w14:checkbox>
              </w:sdtPr>
              <w:sdtEndPr>
                <w:rPr>
                  <w:rFonts w:hint="eastAsia" w:ascii="宋体" w:hAnsi="宋体"/>
                  <w:color w:val="auto"/>
                  <w:kern w:val="2"/>
                  <w:sz w:val="24"/>
                  <w:szCs w:val="24"/>
                  <w:highlight w:val="none"/>
                </w:rPr>
              </w:sdtEndPr>
              <w:sdtContent>
                <w:r>
                  <w:rPr>
                    <w:rFonts w:ascii="Wingdings 2" w:hAnsi="Wingdings 2" w:eastAsia="宋体" w:cs="Times New Roman"/>
                    <w:color w:val="auto"/>
                    <w:kern w:val="2"/>
                    <w:sz w:val="24"/>
                    <w:szCs w:val="24"/>
                    <w:highlight w:val="none"/>
                    <w:lang w:val="en-US" w:eastAsia="zh-CN" w:bidi="ar-SA"/>
                  </w:rPr>
                  <w:t>R</w:t>
                </w:r>
              </w:sdtContent>
            </w:sdt>
            <w:r>
              <w:rPr>
                <w:rFonts w:hint="eastAsia" w:ascii="宋体" w:hAnsi="宋体"/>
                <w:color w:val="auto"/>
                <w:kern w:val="2"/>
                <w:sz w:val="24"/>
                <w:szCs w:val="24"/>
                <w:highlight w:val="none"/>
              </w:rPr>
              <w:t>不组织</w:t>
            </w:r>
          </w:p>
        </w:tc>
      </w:tr>
      <w:tr w14:paraId="7C0C0B77">
        <w:tblPrEx>
          <w:tblCellMar>
            <w:top w:w="0" w:type="dxa"/>
            <w:left w:w="0" w:type="dxa"/>
            <w:bottom w:w="0" w:type="dxa"/>
            <w:right w:w="0" w:type="dxa"/>
          </w:tblCellMar>
        </w:tblPrEx>
        <w:trPr>
          <w:gridAfter w:val="1"/>
          <w:wAfter w:w="8" w:type="dxa"/>
          <w:trHeight w:val="72" w:hRule="atLeast"/>
          <w:jc w:val="center"/>
        </w:trPr>
        <w:tc>
          <w:tcPr>
            <w:tcW w:w="752" w:type="dxa"/>
            <w:tcBorders>
              <w:top w:val="single" w:color="auto" w:sz="6" w:space="0"/>
              <w:left w:val="single" w:color="auto" w:sz="12" w:space="0"/>
              <w:bottom w:val="single" w:color="auto" w:sz="4" w:space="0"/>
              <w:right w:val="single" w:color="auto" w:sz="6" w:space="0"/>
            </w:tcBorders>
            <w:vAlign w:val="center"/>
          </w:tcPr>
          <w:p w14:paraId="5C26194B">
            <w:pPr>
              <w:keepNext w:val="0"/>
              <w:keepLines w:val="0"/>
              <w:pageBreakBefore w:val="0"/>
              <w:kinsoku/>
              <w:wordWrap/>
              <w:overflowPunct/>
              <w:autoSpaceDE w:val="0"/>
              <w:autoSpaceDN w:val="0"/>
              <w:bidi w:val="0"/>
              <w:adjustRightInd w:val="0"/>
              <w:snapToGrid w:val="0"/>
              <w:spacing w:after="0" w:line="440" w:lineRule="exact"/>
              <w:textAlignment w:val="auto"/>
              <w:rPr>
                <w:rFonts w:ascii="宋体" w:hAnsi="宋体"/>
                <w:color w:val="auto"/>
                <w:kern w:val="2"/>
                <w:sz w:val="24"/>
                <w:szCs w:val="24"/>
                <w:highlight w:val="none"/>
              </w:rPr>
            </w:pPr>
            <w:r>
              <w:rPr>
                <w:rFonts w:hint="eastAsia" w:ascii="宋体" w:hAnsi="宋体"/>
                <w:color w:val="auto"/>
                <w:kern w:val="2"/>
                <w:sz w:val="24"/>
                <w:szCs w:val="24"/>
                <w:highlight w:val="none"/>
              </w:rPr>
              <w:t>11.</w:t>
            </w:r>
            <w:r>
              <w:rPr>
                <w:rFonts w:ascii="宋体" w:hAnsi="宋体"/>
                <w:color w:val="auto"/>
                <w:kern w:val="2"/>
                <w:sz w:val="24"/>
                <w:szCs w:val="24"/>
                <w:highlight w:val="none"/>
              </w:rPr>
              <w:t>6</w:t>
            </w:r>
          </w:p>
        </w:tc>
        <w:tc>
          <w:tcPr>
            <w:tcW w:w="2068" w:type="dxa"/>
            <w:tcBorders>
              <w:top w:val="single" w:color="auto" w:sz="6" w:space="0"/>
              <w:left w:val="single" w:color="auto" w:sz="12" w:space="0"/>
              <w:bottom w:val="single" w:color="auto" w:sz="4" w:space="0"/>
              <w:right w:val="single" w:color="auto" w:sz="6" w:space="0"/>
            </w:tcBorders>
            <w:vAlign w:val="center"/>
          </w:tcPr>
          <w:p w14:paraId="3CA53082">
            <w:pPr>
              <w:keepNext w:val="0"/>
              <w:keepLines w:val="0"/>
              <w:pageBreakBefore w:val="0"/>
              <w:kinsoku/>
              <w:wordWrap/>
              <w:overflowPunct/>
              <w:bidi w:val="0"/>
              <w:adjustRightInd w:val="0"/>
              <w:snapToGrid w:val="0"/>
              <w:spacing w:after="0" w:line="440" w:lineRule="exac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对多标段采购的规定</w:t>
            </w:r>
          </w:p>
        </w:tc>
        <w:tc>
          <w:tcPr>
            <w:tcW w:w="6152" w:type="dxa"/>
            <w:tcBorders>
              <w:top w:val="single" w:color="auto" w:sz="6" w:space="0"/>
              <w:left w:val="single" w:color="auto" w:sz="6" w:space="0"/>
              <w:bottom w:val="single" w:color="auto" w:sz="4" w:space="0"/>
              <w:right w:val="single" w:color="auto" w:sz="12" w:space="0"/>
            </w:tcBorders>
            <w:vAlign w:val="center"/>
          </w:tcPr>
          <w:p w14:paraId="0A2D0456">
            <w:pPr>
              <w:keepNext w:val="0"/>
              <w:keepLines w:val="0"/>
              <w:pageBreakBefore w:val="0"/>
              <w:kinsoku/>
              <w:wordWrap/>
              <w:overflowPunct/>
              <w:bidi w:val="0"/>
              <w:adjustRightInd w:val="0"/>
              <w:snapToGrid w:val="0"/>
              <w:spacing w:after="0" w:line="440" w:lineRule="exact"/>
              <w:textAlignment w:val="auto"/>
              <w:rPr>
                <w:rFonts w:ascii="宋体" w:hAnsi="宋体" w:cs="宋体"/>
                <w:color w:val="auto"/>
                <w:sz w:val="24"/>
                <w:szCs w:val="24"/>
                <w:highlight w:val="none"/>
                <w:lang w:val="zh-CN"/>
              </w:rPr>
            </w:pPr>
            <w:sdt>
              <w:sdtPr>
                <w:rPr>
                  <w:rFonts w:hint="eastAsia" w:ascii="宋体" w:hAnsi="宋体" w:cs="宋体"/>
                  <w:color w:val="auto"/>
                  <w:sz w:val="24"/>
                  <w:szCs w:val="24"/>
                  <w:highlight w:val="none"/>
                  <w:lang w:val="zh-CN"/>
                </w:rPr>
                <w:id w:val="-220292456"/>
                <w14:checkbox>
                  <w14:checked w14:val="1"/>
                  <w14:checkedState w14:val="0052" w14:font="Wingdings 2"/>
                  <w14:uncheckedState w14:val="00A3" w14:font="Wingdings 2"/>
                </w14:checkbox>
              </w:sdtPr>
              <w:sdtEndPr>
                <w:rPr>
                  <w:rFonts w:hint="eastAsia" w:ascii="宋体" w:hAnsi="宋体" w:cs="宋体"/>
                  <w:color w:val="auto"/>
                  <w:sz w:val="24"/>
                  <w:szCs w:val="24"/>
                  <w:highlight w:val="none"/>
                  <w:lang w:val="zh-CN"/>
                </w:rPr>
              </w:sdtEndPr>
              <w:sdtContent>
                <w:r>
                  <w:rPr>
                    <w:rFonts w:ascii="Wingdings 2" w:hAnsi="Wingdings 2" w:eastAsia="宋体" w:cs="宋体"/>
                    <w:color w:val="auto"/>
                    <w:kern w:val="0"/>
                    <w:sz w:val="24"/>
                    <w:szCs w:val="24"/>
                    <w:highlight w:val="none"/>
                    <w:lang w:val="zh-CN" w:eastAsia="zh-CN" w:bidi="ar-SA"/>
                  </w:rPr>
                  <w:t>R</w:t>
                </w:r>
              </w:sdtContent>
            </w:sdt>
            <w:r>
              <w:rPr>
                <w:rFonts w:hint="eastAsia" w:ascii="宋体" w:hAnsi="宋体" w:cs="宋体"/>
                <w:color w:val="auto"/>
                <w:sz w:val="24"/>
                <w:szCs w:val="24"/>
                <w:highlight w:val="none"/>
                <w:lang w:val="zh-CN"/>
              </w:rPr>
              <w:t>不适用，</w:t>
            </w:r>
            <w:r>
              <w:rPr>
                <w:rFonts w:hint="eastAsia" w:ascii="宋体" w:hAnsi="宋体"/>
                <w:color w:val="auto"/>
                <w:sz w:val="24"/>
                <w:szCs w:val="24"/>
                <w:highlight w:val="none"/>
              </w:rPr>
              <w:t>供应商仅可参加本项目1个标段响应。</w:t>
            </w:r>
          </w:p>
        </w:tc>
      </w:tr>
      <w:tr w14:paraId="4FB6084E">
        <w:tblPrEx>
          <w:tblCellMar>
            <w:top w:w="0" w:type="dxa"/>
            <w:left w:w="0" w:type="dxa"/>
            <w:bottom w:w="0" w:type="dxa"/>
            <w:right w:w="0" w:type="dxa"/>
          </w:tblCellMar>
        </w:tblPrEx>
        <w:trPr>
          <w:gridAfter w:val="1"/>
          <w:wAfter w:w="8" w:type="dxa"/>
          <w:trHeight w:val="72" w:hRule="atLeast"/>
          <w:jc w:val="center"/>
        </w:trPr>
        <w:tc>
          <w:tcPr>
            <w:tcW w:w="752" w:type="dxa"/>
            <w:tcBorders>
              <w:top w:val="single" w:color="auto" w:sz="6" w:space="0"/>
              <w:left w:val="single" w:color="auto" w:sz="12" w:space="0"/>
              <w:bottom w:val="single" w:color="auto" w:sz="4" w:space="0"/>
              <w:right w:val="single" w:color="auto" w:sz="6" w:space="0"/>
            </w:tcBorders>
            <w:vAlign w:val="center"/>
          </w:tcPr>
          <w:p w14:paraId="7520C538">
            <w:pPr>
              <w:keepNext w:val="0"/>
              <w:keepLines w:val="0"/>
              <w:pageBreakBefore w:val="0"/>
              <w:kinsoku/>
              <w:wordWrap/>
              <w:overflowPunct/>
              <w:autoSpaceDE w:val="0"/>
              <w:autoSpaceDN w:val="0"/>
              <w:bidi w:val="0"/>
              <w:adjustRightInd w:val="0"/>
              <w:snapToGrid w:val="0"/>
              <w:spacing w:after="0" w:line="440" w:lineRule="exact"/>
              <w:textAlignment w:val="auto"/>
              <w:rPr>
                <w:rFonts w:ascii="宋体" w:hAnsi="宋体"/>
                <w:color w:val="auto"/>
                <w:kern w:val="2"/>
                <w:sz w:val="24"/>
                <w:szCs w:val="24"/>
                <w:highlight w:val="none"/>
              </w:rPr>
            </w:pPr>
            <w:r>
              <w:rPr>
                <w:rFonts w:hint="eastAsia" w:ascii="宋体" w:hAnsi="宋体"/>
                <w:color w:val="auto"/>
                <w:kern w:val="2"/>
                <w:sz w:val="24"/>
                <w:szCs w:val="24"/>
                <w:highlight w:val="none"/>
              </w:rPr>
              <w:t>12.2</w:t>
            </w:r>
          </w:p>
        </w:tc>
        <w:tc>
          <w:tcPr>
            <w:tcW w:w="2068" w:type="dxa"/>
            <w:tcBorders>
              <w:top w:val="single" w:color="auto" w:sz="6" w:space="0"/>
              <w:left w:val="single" w:color="auto" w:sz="12" w:space="0"/>
              <w:bottom w:val="single" w:color="auto" w:sz="4" w:space="0"/>
              <w:right w:val="single" w:color="auto" w:sz="6" w:space="0"/>
            </w:tcBorders>
            <w:vAlign w:val="center"/>
          </w:tcPr>
          <w:p w14:paraId="053AF241">
            <w:pPr>
              <w:keepNext w:val="0"/>
              <w:keepLines w:val="0"/>
              <w:pageBreakBefore w:val="0"/>
              <w:kinsoku/>
              <w:wordWrap/>
              <w:overflowPunct/>
              <w:bidi w:val="0"/>
              <w:adjustRightInd w:val="0"/>
              <w:snapToGrid w:val="0"/>
              <w:spacing w:after="0" w:line="440" w:lineRule="exact"/>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报价单位</w:t>
            </w:r>
          </w:p>
        </w:tc>
        <w:tc>
          <w:tcPr>
            <w:tcW w:w="6152" w:type="dxa"/>
            <w:tcBorders>
              <w:top w:val="single" w:color="auto" w:sz="6" w:space="0"/>
              <w:left w:val="single" w:color="auto" w:sz="6" w:space="0"/>
              <w:bottom w:val="single" w:color="auto" w:sz="4" w:space="0"/>
              <w:right w:val="single" w:color="auto" w:sz="12" w:space="0"/>
            </w:tcBorders>
            <w:vAlign w:val="center"/>
          </w:tcPr>
          <w:p w14:paraId="73C46079">
            <w:pPr>
              <w:keepNext w:val="0"/>
              <w:keepLines w:val="0"/>
              <w:pageBreakBefore w:val="0"/>
              <w:kinsoku/>
              <w:wordWrap/>
              <w:overflowPunct/>
              <w:autoSpaceDE w:val="0"/>
              <w:autoSpaceDN w:val="0"/>
              <w:bidi w:val="0"/>
              <w:adjustRightInd w:val="0"/>
              <w:spacing w:after="0" w:line="440" w:lineRule="exact"/>
              <w:jc w:val="both"/>
              <w:textAlignment w:val="auto"/>
              <w:rPr>
                <w:rFonts w:ascii="宋体" w:hAnsi="宋体" w:cs="宋体"/>
                <w:color w:val="auto"/>
                <w:kern w:val="2"/>
                <w:sz w:val="24"/>
                <w:szCs w:val="24"/>
                <w:highlight w:val="none"/>
                <w:lang w:val="zh-CN"/>
              </w:rPr>
            </w:pPr>
            <w:sdt>
              <w:sdtPr>
                <w:rPr>
                  <w:rFonts w:hint="eastAsia" w:ascii="宋体" w:hAnsi="宋体" w:cs="宋体"/>
                  <w:color w:val="auto"/>
                  <w:kern w:val="2"/>
                  <w:sz w:val="24"/>
                  <w:szCs w:val="24"/>
                  <w:highlight w:val="none"/>
                  <w:lang w:val="zh-CN"/>
                </w:rPr>
                <w:id w:val="724954138"/>
                <w14:checkbox>
                  <w14:checked w14:val="1"/>
                  <w14:checkedState w14:val="0052" w14:font="Wingdings 2"/>
                  <w14:uncheckedState w14:val="00A3" w14:font="Wingdings 2"/>
                </w14:checkbox>
              </w:sdtPr>
              <w:sdtEndPr>
                <w:rPr>
                  <w:rFonts w:hint="eastAsia" w:ascii="宋体" w:hAnsi="宋体" w:cs="宋体"/>
                  <w:color w:val="auto"/>
                  <w:kern w:val="2"/>
                  <w:sz w:val="24"/>
                  <w:szCs w:val="24"/>
                  <w:highlight w:val="none"/>
                  <w:lang w:val="zh-CN"/>
                </w:rPr>
              </w:sdtEndPr>
              <w:sdtContent>
                <w:r>
                  <w:rPr>
                    <w:rFonts w:ascii="Wingdings 2" w:hAnsi="Wingdings 2" w:eastAsia="宋体" w:cs="宋体"/>
                    <w:color w:val="auto"/>
                    <w:kern w:val="2"/>
                    <w:sz w:val="24"/>
                    <w:szCs w:val="24"/>
                    <w:highlight w:val="none"/>
                    <w:lang w:val="zh-CN" w:eastAsia="zh-CN" w:bidi="ar-SA"/>
                  </w:rPr>
                  <w:t>R</w:t>
                </w:r>
              </w:sdtContent>
            </w:sdt>
            <w:r>
              <w:rPr>
                <w:rFonts w:hint="eastAsia" w:ascii="宋体" w:hAnsi="宋体" w:cs="宋体"/>
                <w:color w:val="auto"/>
                <w:kern w:val="2"/>
                <w:sz w:val="24"/>
                <w:szCs w:val="24"/>
                <w:highlight w:val="none"/>
                <w:lang w:val="zh-CN"/>
              </w:rPr>
              <w:t>人民币</w:t>
            </w:r>
          </w:p>
        </w:tc>
      </w:tr>
      <w:tr w14:paraId="6AB256A8">
        <w:tblPrEx>
          <w:tblCellMar>
            <w:top w:w="0" w:type="dxa"/>
            <w:left w:w="0" w:type="dxa"/>
            <w:bottom w:w="0" w:type="dxa"/>
            <w:right w:w="0" w:type="dxa"/>
          </w:tblCellMar>
        </w:tblPrEx>
        <w:trPr>
          <w:gridAfter w:val="1"/>
          <w:wAfter w:w="8" w:type="dxa"/>
          <w:trHeight w:val="72" w:hRule="atLeast"/>
          <w:jc w:val="center"/>
        </w:trPr>
        <w:tc>
          <w:tcPr>
            <w:tcW w:w="752" w:type="dxa"/>
            <w:tcBorders>
              <w:top w:val="single" w:color="auto" w:sz="6" w:space="0"/>
              <w:left w:val="single" w:color="auto" w:sz="12" w:space="0"/>
              <w:bottom w:val="single" w:color="auto" w:sz="4" w:space="0"/>
              <w:right w:val="single" w:color="auto" w:sz="6" w:space="0"/>
            </w:tcBorders>
            <w:vAlign w:val="center"/>
          </w:tcPr>
          <w:p w14:paraId="1569660A">
            <w:pPr>
              <w:keepNext w:val="0"/>
              <w:keepLines w:val="0"/>
              <w:pageBreakBefore w:val="0"/>
              <w:widowControl w:val="0"/>
              <w:kinsoku/>
              <w:wordWrap/>
              <w:overflowPunct/>
              <w:autoSpaceDE w:val="0"/>
              <w:autoSpaceDN w:val="0"/>
              <w:bidi w:val="0"/>
              <w:adjustRightInd w:val="0"/>
              <w:snapToGrid w:val="0"/>
              <w:spacing w:after="0" w:line="440" w:lineRule="exact"/>
              <w:ind w:left="22" w:leftChars="10" w:right="22" w:rightChars="10"/>
              <w:jc w:val="both"/>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13.1</w:t>
            </w:r>
          </w:p>
        </w:tc>
        <w:tc>
          <w:tcPr>
            <w:tcW w:w="2068" w:type="dxa"/>
            <w:tcBorders>
              <w:top w:val="single" w:color="auto" w:sz="6" w:space="0"/>
              <w:left w:val="single" w:color="auto" w:sz="12" w:space="0"/>
              <w:bottom w:val="single" w:color="auto" w:sz="4" w:space="0"/>
              <w:right w:val="single" w:color="auto" w:sz="6" w:space="0"/>
            </w:tcBorders>
            <w:vAlign w:val="center"/>
          </w:tcPr>
          <w:p w14:paraId="077C4EF9">
            <w:pPr>
              <w:keepNext w:val="0"/>
              <w:keepLines w:val="0"/>
              <w:pageBreakBefore w:val="0"/>
              <w:kinsoku/>
              <w:wordWrap/>
              <w:overflowPunct/>
              <w:bidi w:val="0"/>
              <w:adjustRightInd w:val="0"/>
              <w:snapToGrid w:val="0"/>
              <w:spacing w:after="0" w:line="440" w:lineRule="exact"/>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备选方案</w:t>
            </w:r>
          </w:p>
        </w:tc>
        <w:tc>
          <w:tcPr>
            <w:tcW w:w="6152" w:type="dxa"/>
            <w:tcBorders>
              <w:top w:val="single" w:color="auto" w:sz="6" w:space="0"/>
              <w:left w:val="single" w:color="auto" w:sz="6" w:space="0"/>
              <w:bottom w:val="single" w:color="auto" w:sz="4" w:space="0"/>
              <w:right w:val="single" w:color="auto" w:sz="12" w:space="0"/>
            </w:tcBorders>
            <w:vAlign w:val="center"/>
          </w:tcPr>
          <w:p w14:paraId="433BDDA2">
            <w:pPr>
              <w:keepNext w:val="0"/>
              <w:keepLines w:val="0"/>
              <w:pageBreakBefore w:val="0"/>
              <w:kinsoku/>
              <w:wordWrap/>
              <w:overflowPunct/>
              <w:bidi w:val="0"/>
              <w:adjustRightInd w:val="0"/>
              <w:snapToGrid w:val="0"/>
              <w:spacing w:after="0" w:line="440" w:lineRule="exact"/>
              <w:textAlignment w:val="auto"/>
              <w:rPr>
                <w:rFonts w:ascii="宋体" w:hAnsi="宋体"/>
                <w:color w:val="auto"/>
                <w:kern w:val="2"/>
                <w:sz w:val="24"/>
                <w:szCs w:val="24"/>
                <w:highlight w:val="none"/>
                <w:lang w:val="zh-CN"/>
              </w:rPr>
            </w:pPr>
            <w:sdt>
              <w:sdtPr>
                <w:rPr>
                  <w:rFonts w:hint="eastAsia" w:ascii="宋体" w:hAnsi="宋体" w:cs="宋体"/>
                  <w:bCs/>
                  <w:color w:val="auto"/>
                  <w:kern w:val="2"/>
                  <w:sz w:val="24"/>
                  <w:szCs w:val="24"/>
                  <w:highlight w:val="none"/>
                </w:rPr>
                <w:id w:val="-378477761"/>
                <w14:checkbox>
                  <w14:checked w14:val="1"/>
                  <w14:checkedState w14:val="0052" w14:font="Wingdings 2"/>
                  <w14:uncheckedState w14:val="00A3" w14:font="Wingdings 2"/>
                </w14:checkbox>
              </w:sdtPr>
              <w:sdtEndPr>
                <w:rPr>
                  <w:rFonts w:hint="eastAsia" w:ascii="宋体" w:hAnsi="宋体" w:cs="宋体"/>
                  <w:bCs/>
                  <w:color w:val="auto"/>
                  <w:kern w:val="2"/>
                  <w:sz w:val="24"/>
                  <w:szCs w:val="24"/>
                  <w:highlight w:val="none"/>
                </w:rPr>
              </w:sdtEndPr>
              <w:sdtContent>
                <w:r>
                  <w:rPr>
                    <w:rFonts w:ascii="Wingdings 2" w:hAnsi="Wingdings 2" w:eastAsia="宋体" w:cs="宋体"/>
                    <w:bCs/>
                    <w:color w:val="auto"/>
                    <w:kern w:val="2"/>
                    <w:sz w:val="24"/>
                    <w:szCs w:val="24"/>
                    <w:highlight w:val="none"/>
                    <w:lang w:val="en-US" w:eastAsia="zh-CN" w:bidi="ar-SA"/>
                  </w:rPr>
                  <w:t>R</w:t>
                </w:r>
              </w:sdtContent>
            </w:sdt>
            <w:r>
              <w:rPr>
                <w:rFonts w:hint="eastAsia" w:ascii="宋体" w:hAnsi="宋体" w:cs="宋体"/>
                <w:color w:val="auto"/>
                <w:kern w:val="2"/>
                <w:sz w:val="24"/>
                <w:szCs w:val="24"/>
                <w:highlight w:val="none"/>
                <w:lang w:val="zh-CN"/>
              </w:rPr>
              <w:t>不接受</w:t>
            </w:r>
          </w:p>
        </w:tc>
      </w:tr>
      <w:tr w14:paraId="1BFD67B6">
        <w:tblPrEx>
          <w:tblCellMar>
            <w:top w:w="0" w:type="dxa"/>
            <w:left w:w="0" w:type="dxa"/>
            <w:bottom w:w="0" w:type="dxa"/>
            <w:right w:w="0" w:type="dxa"/>
          </w:tblCellMar>
        </w:tblPrEx>
        <w:trPr>
          <w:gridAfter w:val="1"/>
          <w:wAfter w:w="8" w:type="dxa"/>
          <w:trHeight w:val="72" w:hRule="atLeast"/>
          <w:jc w:val="center"/>
        </w:trPr>
        <w:tc>
          <w:tcPr>
            <w:tcW w:w="752" w:type="dxa"/>
            <w:tcBorders>
              <w:top w:val="single" w:color="auto" w:sz="6" w:space="0"/>
              <w:left w:val="single" w:color="auto" w:sz="12" w:space="0"/>
              <w:bottom w:val="single" w:color="auto" w:sz="4" w:space="0"/>
              <w:right w:val="single" w:color="auto" w:sz="6" w:space="0"/>
            </w:tcBorders>
            <w:vAlign w:val="center"/>
          </w:tcPr>
          <w:p w14:paraId="56B35DD2">
            <w:pPr>
              <w:keepNext w:val="0"/>
              <w:keepLines w:val="0"/>
              <w:pageBreakBefore w:val="0"/>
              <w:widowControl w:val="0"/>
              <w:kinsoku/>
              <w:wordWrap/>
              <w:overflowPunct/>
              <w:autoSpaceDE w:val="0"/>
              <w:autoSpaceDN w:val="0"/>
              <w:bidi w:val="0"/>
              <w:adjustRightInd w:val="0"/>
              <w:snapToGrid w:val="0"/>
              <w:spacing w:after="0" w:line="440" w:lineRule="exact"/>
              <w:ind w:left="22" w:leftChars="10" w:right="22" w:rightChars="10"/>
              <w:jc w:val="both"/>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14.1</w:t>
            </w:r>
          </w:p>
        </w:tc>
        <w:tc>
          <w:tcPr>
            <w:tcW w:w="2068" w:type="dxa"/>
            <w:tcBorders>
              <w:top w:val="single" w:color="auto" w:sz="6" w:space="0"/>
              <w:left w:val="single" w:color="auto" w:sz="12" w:space="0"/>
              <w:bottom w:val="single" w:color="auto" w:sz="4" w:space="0"/>
              <w:right w:val="single" w:color="auto" w:sz="6" w:space="0"/>
            </w:tcBorders>
            <w:vAlign w:val="center"/>
          </w:tcPr>
          <w:p w14:paraId="3A23259E">
            <w:pPr>
              <w:keepNext w:val="0"/>
              <w:keepLines w:val="0"/>
              <w:pageBreakBefore w:val="0"/>
              <w:kinsoku/>
              <w:wordWrap/>
              <w:overflowPunct/>
              <w:bidi w:val="0"/>
              <w:adjustRightInd w:val="0"/>
              <w:snapToGrid w:val="0"/>
              <w:spacing w:after="0" w:line="440" w:lineRule="exact"/>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联合体</w:t>
            </w:r>
          </w:p>
        </w:tc>
        <w:tc>
          <w:tcPr>
            <w:tcW w:w="6152" w:type="dxa"/>
            <w:tcBorders>
              <w:top w:val="single" w:color="auto" w:sz="6" w:space="0"/>
              <w:left w:val="single" w:color="auto" w:sz="6" w:space="0"/>
              <w:bottom w:val="single" w:color="auto" w:sz="4" w:space="0"/>
              <w:right w:val="single" w:color="auto" w:sz="12" w:space="0"/>
            </w:tcBorders>
            <w:vAlign w:val="center"/>
          </w:tcPr>
          <w:p w14:paraId="178D1F7B">
            <w:pPr>
              <w:keepNext w:val="0"/>
              <w:keepLines w:val="0"/>
              <w:pageBreakBefore w:val="0"/>
              <w:kinsoku/>
              <w:wordWrap/>
              <w:overflowPunct/>
              <w:bidi w:val="0"/>
              <w:adjustRightInd w:val="0"/>
              <w:snapToGrid w:val="0"/>
              <w:spacing w:after="0" w:line="440" w:lineRule="exact"/>
              <w:textAlignment w:val="auto"/>
              <w:rPr>
                <w:rFonts w:ascii="宋体" w:hAnsi="宋体" w:cs="宋体"/>
                <w:color w:val="auto"/>
                <w:kern w:val="2"/>
                <w:sz w:val="24"/>
                <w:szCs w:val="24"/>
                <w:highlight w:val="none"/>
                <w:lang w:val="zh-CN"/>
              </w:rPr>
            </w:pPr>
            <w:sdt>
              <w:sdtPr>
                <w:rPr>
                  <w:rFonts w:hint="eastAsia" w:ascii="宋体" w:hAnsi="宋体" w:cs="宋体"/>
                  <w:bCs/>
                  <w:color w:val="auto"/>
                  <w:kern w:val="2"/>
                  <w:sz w:val="24"/>
                  <w:szCs w:val="24"/>
                  <w:highlight w:val="none"/>
                </w:rPr>
                <w:id w:val="775688167"/>
                <w14:checkbox>
                  <w14:checked w14:val="1"/>
                  <w14:checkedState w14:val="0052" w14:font="Wingdings 2"/>
                  <w14:uncheckedState w14:val="00A3" w14:font="Wingdings 2"/>
                </w14:checkbox>
              </w:sdtPr>
              <w:sdtEndPr>
                <w:rPr>
                  <w:rFonts w:hint="eastAsia" w:ascii="宋体" w:hAnsi="宋体" w:cs="宋体"/>
                  <w:bCs/>
                  <w:color w:val="auto"/>
                  <w:kern w:val="2"/>
                  <w:sz w:val="24"/>
                  <w:szCs w:val="24"/>
                  <w:highlight w:val="none"/>
                </w:rPr>
              </w:sdtEndPr>
              <w:sdtContent>
                <w:r>
                  <w:rPr>
                    <w:rFonts w:ascii="Wingdings 2" w:hAnsi="Wingdings 2" w:eastAsia="宋体" w:cs="宋体"/>
                    <w:bCs/>
                    <w:color w:val="auto"/>
                    <w:kern w:val="2"/>
                    <w:sz w:val="24"/>
                    <w:szCs w:val="24"/>
                    <w:highlight w:val="none"/>
                    <w:lang w:val="en-US" w:eastAsia="zh-CN" w:bidi="ar-SA"/>
                  </w:rPr>
                  <w:t>R</w:t>
                </w:r>
              </w:sdtContent>
            </w:sdt>
            <w:r>
              <w:rPr>
                <w:rFonts w:hint="eastAsia" w:ascii="宋体" w:hAnsi="宋体" w:cs="宋体"/>
                <w:color w:val="auto"/>
                <w:kern w:val="2"/>
                <w:sz w:val="24"/>
                <w:szCs w:val="24"/>
                <w:highlight w:val="none"/>
                <w:lang w:val="zh-CN"/>
              </w:rPr>
              <w:t>不接受</w:t>
            </w:r>
          </w:p>
        </w:tc>
      </w:tr>
      <w:tr w14:paraId="34598056">
        <w:tblPrEx>
          <w:tblCellMar>
            <w:top w:w="0" w:type="dxa"/>
            <w:left w:w="0" w:type="dxa"/>
            <w:bottom w:w="0" w:type="dxa"/>
            <w:right w:w="0" w:type="dxa"/>
          </w:tblCellMar>
        </w:tblPrEx>
        <w:trPr>
          <w:gridAfter w:val="1"/>
          <w:wAfter w:w="8" w:type="dxa"/>
          <w:trHeight w:val="72" w:hRule="atLeast"/>
          <w:jc w:val="center"/>
        </w:trPr>
        <w:tc>
          <w:tcPr>
            <w:tcW w:w="752" w:type="dxa"/>
            <w:tcBorders>
              <w:top w:val="single" w:color="auto" w:sz="6" w:space="0"/>
              <w:left w:val="single" w:color="auto" w:sz="12" w:space="0"/>
              <w:bottom w:val="single" w:color="auto" w:sz="4" w:space="0"/>
              <w:right w:val="single" w:color="auto" w:sz="6" w:space="0"/>
            </w:tcBorders>
            <w:vAlign w:val="center"/>
          </w:tcPr>
          <w:p w14:paraId="6380632B">
            <w:pPr>
              <w:keepNext w:val="0"/>
              <w:keepLines w:val="0"/>
              <w:pageBreakBefore w:val="0"/>
              <w:widowControl w:val="0"/>
              <w:kinsoku/>
              <w:wordWrap/>
              <w:overflowPunct/>
              <w:autoSpaceDE w:val="0"/>
              <w:autoSpaceDN w:val="0"/>
              <w:bidi w:val="0"/>
              <w:adjustRightInd w:val="0"/>
              <w:snapToGrid w:val="0"/>
              <w:spacing w:after="0" w:line="440" w:lineRule="exact"/>
              <w:ind w:left="22" w:leftChars="10" w:right="22" w:rightChars="10"/>
              <w:jc w:val="both"/>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15.1</w:t>
            </w:r>
          </w:p>
        </w:tc>
        <w:tc>
          <w:tcPr>
            <w:tcW w:w="2068" w:type="dxa"/>
            <w:tcBorders>
              <w:top w:val="single" w:color="auto" w:sz="6" w:space="0"/>
              <w:left w:val="single" w:color="auto" w:sz="12" w:space="0"/>
              <w:bottom w:val="single" w:color="auto" w:sz="4" w:space="0"/>
              <w:right w:val="single" w:color="auto" w:sz="6" w:space="0"/>
            </w:tcBorders>
            <w:vAlign w:val="center"/>
          </w:tcPr>
          <w:p w14:paraId="4F694F59">
            <w:pPr>
              <w:keepNext w:val="0"/>
              <w:keepLines w:val="0"/>
              <w:pageBreakBefore w:val="0"/>
              <w:kinsoku/>
              <w:wordWrap/>
              <w:overflowPunct/>
              <w:bidi w:val="0"/>
              <w:adjustRightInd w:val="0"/>
              <w:snapToGrid w:val="0"/>
              <w:spacing w:after="0" w:line="440" w:lineRule="exact"/>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成交后分包</w:t>
            </w:r>
          </w:p>
        </w:tc>
        <w:tc>
          <w:tcPr>
            <w:tcW w:w="6152" w:type="dxa"/>
            <w:tcBorders>
              <w:top w:val="single" w:color="auto" w:sz="6" w:space="0"/>
              <w:left w:val="single" w:color="auto" w:sz="6" w:space="0"/>
              <w:bottom w:val="single" w:color="auto" w:sz="4" w:space="0"/>
              <w:right w:val="single" w:color="auto" w:sz="12" w:space="0"/>
            </w:tcBorders>
            <w:vAlign w:val="center"/>
          </w:tcPr>
          <w:p w14:paraId="75861827">
            <w:pPr>
              <w:keepNext w:val="0"/>
              <w:keepLines w:val="0"/>
              <w:pageBreakBefore w:val="0"/>
              <w:kinsoku/>
              <w:wordWrap/>
              <w:overflowPunct/>
              <w:bidi w:val="0"/>
              <w:adjustRightInd w:val="0"/>
              <w:snapToGrid w:val="0"/>
              <w:spacing w:after="0" w:line="440" w:lineRule="exact"/>
              <w:textAlignment w:val="auto"/>
              <w:rPr>
                <w:rFonts w:ascii="宋体" w:hAnsi="宋体"/>
                <w:color w:val="auto"/>
                <w:kern w:val="2"/>
                <w:sz w:val="24"/>
                <w:szCs w:val="24"/>
                <w:highlight w:val="none"/>
                <w:lang w:val="zh-CN"/>
              </w:rPr>
            </w:pPr>
            <w:sdt>
              <w:sdtPr>
                <w:rPr>
                  <w:rFonts w:hint="eastAsia" w:ascii="宋体" w:hAnsi="宋体" w:cs="宋体"/>
                  <w:bCs/>
                  <w:color w:val="auto"/>
                  <w:kern w:val="2"/>
                  <w:sz w:val="24"/>
                  <w:szCs w:val="24"/>
                  <w:highlight w:val="none"/>
                </w:rPr>
                <w:id w:val="713003774"/>
                <w14:checkbox>
                  <w14:checked w14:val="1"/>
                  <w14:checkedState w14:val="0052" w14:font="Wingdings 2"/>
                  <w14:uncheckedState w14:val="00A3" w14:font="Wingdings 2"/>
                </w14:checkbox>
              </w:sdtPr>
              <w:sdtEndPr>
                <w:rPr>
                  <w:rFonts w:hint="eastAsia" w:ascii="宋体" w:hAnsi="宋体" w:cs="宋体"/>
                  <w:bCs/>
                  <w:color w:val="auto"/>
                  <w:kern w:val="2"/>
                  <w:sz w:val="24"/>
                  <w:szCs w:val="24"/>
                  <w:highlight w:val="none"/>
                </w:rPr>
              </w:sdtEndPr>
              <w:sdtContent>
                <w:r>
                  <w:rPr>
                    <w:rFonts w:ascii="Wingdings 2" w:hAnsi="Wingdings 2" w:eastAsia="宋体" w:cs="宋体"/>
                    <w:bCs/>
                    <w:color w:val="auto"/>
                    <w:kern w:val="2"/>
                    <w:sz w:val="24"/>
                    <w:szCs w:val="24"/>
                    <w:highlight w:val="none"/>
                    <w:lang w:val="en-US" w:eastAsia="zh-CN" w:bidi="ar-SA"/>
                  </w:rPr>
                  <w:t>R</w:t>
                </w:r>
              </w:sdtContent>
            </w:sdt>
            <w:r>
              <w:rPr>
                <w:rFonts w:hint="eastAsia" w:ascii="宋体" w:hAnsi="宋体" w:cs="宋体"/>
                <w:color w:val="auto"/>
                <w:kern w:val="2"/>
                <w:sz w:val="24"/>
                <w:szCs w:val="24"/>
                <w:highlight w:val="none"/>
                <w:lang w:val="zh-CN"/>
              </w:rPr>
              <w:t>不允许</w:t>
            </w:r>
          </w:p>
        </w:tc>
      </w:tr>
      <w:tr w14:paraId="11C04547">
        <w:tblPrEx>
          <w:tblCellMar>
            <w:top w:w="0" w:type="dxa"/>
            <w:left w:w="0" w:type="dxa"/>
            <w:bottom w:w="0" w:type="dxa"/>
            <w:right w:w="0" w:type="dxa"/>
          </w:tblCellMar>
        </w:tblPrEx>
        <w:trPr>
          <w:gridAfter w:val="1"/>
          <w:wAfter w:w="8" w:type="dxa"/>
          <w:trHeight w:val="72" w:hRule="atLeast"/>
          <w:jc w:val="center"/>
        </w:trPr>
        <w:tc>
          <w:tcPr>
            <w:tcW w:w="752" w:type="dxa"/>
            <w:tcBorders>
              <w:top w:val="single" w:color="auto" w:sz="6" w:space="0"/>
              <w:left w:val="single" w:color="auto" w:sz="12" w:space="0"/>
              <w:bottom w:val="single" w:color="auto" w:sz="4" w:space="0"/>
              <w:right w:val="single" w:color="auto" w:sz="6" w:space="0"/>
            </w:tcBorders>
            <w:vAlign w:val="center"/>
          </w:tcPr>
          <w:p w14:paraId="689D39EF">
            <w:pPr>
              <w:keepNext w:val="0"/>
              <w:keepLines w:val="0"/>
              <w:pageBreakBefore w:val="0"/>
              <w:widowControl w:val="0"/>
              <w:kinsoku/>
              <w:wordWrap/>
              <w:overflowPunct/>
              <w:autoSpaceDE w:val="0"/>
              <w:autoSpaceDN w:val="0"/>
              <w:bidi w:val="0"/>
              <w:adjustRightInd w:val="0"/>
              <w:snapToGrid w:val="0"/>
              <w:spacing w:after="0" w:line="440" w:lineRule="exact"/>
              <w:ind w:left="22" w:leftChars="10" w:right="22" w:rightChars="10"/>
              <w:jc w:val="both"/>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17.1</w:t>
            </w:r>
          </w:p>
        </w:tc>
        <w:tc>
          <w:tcPr>
            <w:tcW w:w="2068" w:type="dxa"/>
            <w:tcBorders>
              <w:top w:val="single" w:color="auto" w:sz="6" w:space="0"/>
              <w:left w:val="single" w:color="auto" w:sz="12" w:space="0"/>
              <w:bottom w:val="single" w:color="auto" w:sz="4" w:space="0"/>
              <w:right w:val="single" w:color="auto" w:sz="6" w:space="0"/>
            </w:tcBorders>
            <w:vAlign w:val="center"/>
          </w:tcPr>
          <w:p w14:paraId="72C465BB">
            <w:pPr>
              <w:keepNext w:val="0"/>
              <w:keepLines w:val="0"/>
              <w:pageBreakBefore w:val="0"/>
              <w:widowControl w:val="0"/>
              <w:kinsoku/>
              <w:wordWrap/>
              <w:overflowPunct/>
              <w:autoSpaceDE w:val="0"/>
              <w:autoSpaceDN w:val="0"/>
              <w:bidi w:val="0"/>
              <w:adjustRightInd w:val="0"/>
              <w:snapToGrid w:val="0"/>
              <w:spacing w:after="0" w:line="440" w:lineRule="exact"/>
              <w:ind w:left="22" w:leftChars="10" w:right="22" w:rightChars="10"/>
              <w:jc w:val="both"/>
              <w:textAlignment w:val="auto"/>
              <w:rPr>
                <w:rFonts w:ascii="宋体" w:hAnsi="宋体"/>
                <w:color w:val="auto"/>
                <w:kern w:val="2"/>
                <w:sz w:val="24"/>
                <w:szCs w:val="24"/>
                <w:highlight w:val="none"/>
                <w:lang w:val="zh-CN"/>
              </w:rPr>
            </w:pPr>
            <w:r>
              <w:rPr>
                <w:rFonts w:hint="eastAsia" w:ascii="宋体" w:hAnsi="宋体"/>
                <w:color w:val="auto"/>
                <w:kern w:val="2"/>
                <w:sz w:val="24"/>
                <w:szCs w:val="24"/>
                <w:highlight w:val="none"/>
                <w:lang w:val="zh-CN"/>
              </w:rPr>
              <w:t>磋商保证金</w:t>
            </w:r>
          </w:p>
        </w:tc>
        <w:tc>
          <w:tcPr>
            <w:tcW w:w="6152" w:type="dxa"/>
            <w:tcBorders>
              <w:top w:val="single" w:color="auto" w:sz="6" w:space="0"/>
              <w:left w:val="single" w:color="auto" w:sz="6" w:space="0"/>
              <w:bottom w:val="single" w:color="auto" w:sz="4" w:space="0"/>
              <w:right w:val="single" w:color="auto" w:sz="12" w:space="0"/>
            </w:tcBorders>
            <w:vAlign w:val="center"/>
          </w:tcPr>
          <w:p w14:paraId="39FF49D5">
            <w:pPr>
              <w:keepNext w:val="0"/>
              <w:keepLines w:val="0"/>
              <w:pageBreakBefore w:val="0"/>
              <w:kinsoku/>
              <w:wordWrap/>
              <w:overflowPunct/>
              <w:bidi w:val="0"/>
              <w:adjustRightInd w:val="0"/>
              <w:snapToGrid w:val="0"/>
              <w:spacing w:after="0" w:line="440" w:lineRule="exact"/>
              <w:textAlignment w:val="auto"/>
              <w:rPr>
                <w:rFonts w:ascii="宋体" w:hAnsi="宋体"/>
                <w:color w:val="auto"/>
                <w:kern w:val="2"/>
                <w:sz w:val="24"/>
                <w:szCs w:val="24"/>
                <w:highlight w:val="none"/>
              </w:rPr>
            </w:pPr>
            <w:sdt>
              <w:sdtPr>
                <w:rPr>
                  <w:rFonts w:hint="eastAsia" w:ascii="宋体" w:hAnsi="宋体" w:cs="宋体"/>
                  <w:bCs/>
                  <w:color w:val="auto"/>
                  <w:kern w:val="2"/>
                  <w:sz w:val="24"/>
                  <w:szCs w:val="24"/>
                  <w:highlight w:val="none"/>
                </w:rPr>
                <w:id w:val="624423067"/>
                <w14:checkbox>
                  <w14:checked w14:val="1"/>
                  <w14:checkedState w14:val="0052" w14:font="Wingdings 2"/>
                  <w14:uncheckedState w14:val="00A3" w14:font="Wingdings 2"/>
                </w14:checkbox>
              </w:sdtPr>
              <w:sdtEndPr>
                <w:rPr>
                  <w:rFonts w:hint="eastAsia" w:ascii="宋体" w:hAnsi="宋体" w:cs="宋体"/>
                  <w:bCs/>
                  <w:color w:val="auto"/>
                  <w:kern w:val="2"/>
                  <w:sz w:val="24"/>
                  <w:szCs w:val="24"/>
                  <w:highlight w:val="none"/>
                </w:rPr>
              </w:sdtEndPr>
              <w:sdtContent>
                <w:r>
                  <w:rPr>
                    <w:rFonts w:ascii="Wingdings 2" w:hAnsi="Wingdings 2" w:eastAsia="宋体" w:cs="宋体"/>
                    <w:bCs/>
                    <w:color w:val="auto"/>
                    <w:kern w:val="2"/>
                    <w:sz w:val="24"/>
                    <w:szCs w:val="24"/>
                    <w:highlight w:val="none"/>
                    <w:lang w:val="en-US" w:eastAsia="zh-CN" w:bidi="ar-SA"/>
                  </w:rPr>
                  <w:t>R</w:t>
                </w:r>
              </w:sdtContent>
            </w:sdt>
            <w:r>
              <w:rPr>
                <w:rFonts w:hint="eastAsia" w:ascii="宋体" w:hAnsi="宋体" w:cs="宋体"/>
                <w:color w:val="auto"/>
                <w:kern w:val="2"/>
                <w:sz w:val="24"/>
                <w:szCs w:val="24"/>
                <w:highlight w:val="none"/>
                <w:lang w:val="zh-CN"/>
              </w:rPr>
              <w:t>不需要</w:t>
            </w:r>
          </w:p>
        </w:tc>
      </w:tr>
      <w:tr w14:paraId="69B5E810">
        <w:tblPrEx>
          <w:tblCellMar>
            <w:top w:w="0" w:type="dxa"/>
            <w:left w:w="0" w:type="dxa"/>
            <w:bottom w:w="0" w:type="dxa"/>
            <w:right w:w="0" w:type="dxa"/>
          </w:tblCellMar>
        </w:tblPrEx>
        <w:trPr>
          <w:gridAfter w:val="1"/>
          <w:wAfter w:w="8" w:type="dxa"/>
          <w:trHeight w:val="72" w:hRule="atLeast"/>
          <w:jc w:val="center"/>
        </w:trPr>
        <w:tc>
          <w:tcPr>
            <w:tcW w:w="752" w:type="dxa"/>
            <w:tcBorders>
              <w:top w:val="single" w:color="auto" w:sz="6" w:space="0"/>
              <w:left w:val="single" w:color="auto" w:sz="12" w:space="0"/>
              <w:bottom w:val="single" w:color="auto" w:sz="4" w:space="0"/>
              <w:right w:val="single" w:color="auto" w:sz="6" w:space="0"/>
            </w:tcBorders>
            <w:vAlign w:val="center"/>
          </w:tcPr>
          <w:p w14:paraId="182E608E">
            <w:pPr>
              <w:keepNext w:val="0"/>
              <w:keepLines w:val="0"/>
              <w:pageBreakBefore w:val="0"/>
              <w:widowControl w:val="0"/>
              <w:kinsoku/>
              <w:wordWrap/>
              <w:overflowPunct/>
              <w:autoSpaceDE w:val="0"/>
              <w:autoSpaceDN w:val="0"/>
              <w:bidi w:val="0"/>
              <w:adjustRightInd w:val="0"/>
              <w:snapToGrid w:val="0"/>
              <w:spacing w:after="0" w:line="440" w:lineRule="exact"/>
              <w:ind w:left="22" w:leftChars="10" w:right="22" w:rightChars="10"/>
              <w:jc w:val="both"/>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20.1</w:t>
            </w:r>
          </w:p>
        </w:tc>
        <w:tc>
          <w:tcPr>
            <w:tcW w:w="2068" w:type="dxa"/>
            <w:tcBorders>
              <w:top w:val="single" w:color="auto" w:sz="6" w:space="0"/>
              <w:left w:val="single" w:color="auto" w:sz="12" w:space="0"/>
              <w:bottom w:val="single" w:color="auto" w:sz="4" w:space="0"/>
              <w:right w:val="single" w:color="auto" w:sz="6" w:space="0"/>
            </w:tcBorders>
            <w:vAlign w:val="center"/>
          </w:tcPr>
          <w:p w14:paraId="463ADE0F">
            <w:pPr>
              <w:keepNext w:val="0"/>
              <w:keepLines w:val="0"/>
              <w:pageBreakBefore w:val="0"/>
              <w:widowControl w:val="0"/>
              <w:kinsoku/>
              <w:wordWrap/>
              <w:overflowPunct/>
              <w:autoSpaceDE w:val="0"/>
              <w:autoSpaceDN w:val="0"/>
              <w:bidi w:val="0"/>
              <w:adjustRightInd w:val="0"/>
              <w:snapToGrid w:val="0"/>
              <w:spacing w:after="0" w:line="440" w:lineRule="exact"/>
              <w:ind w:left="22" w:leftChars="10" w:right="22" w:rightChars="10"/>
              <w:jc w:val="both"/>
              <w:textAlignment w:val="auto"/>
              <w:rPr>
                <w:rFonts w:ascii="宋体" w:hAnsi="宋体"/>
                <w:color w:val="auto"/>
                <w:kern w:val="2"/>
                <w:sz w:val="24"/>
                <w:szCs w:val="24"/>
                <w:highlight w:val="none"/>
                <w:lang w:val="zh-CN"/>
              </w:rPr>
            </w:pPr>
            <w:r>
              <w:rPr>
                <w:rFonts w:hint="eastAsia" w:ascii="宋体" w:hAnsi="宋体"/>
                <w:color w:val="auto"/>
                <w:kern w:val="2"/>
                <w:sz w:val="24"/>
                <w:szCs w:val="24"/>
                <w:highlight w:val="none"/>
                <w:lang w:val="zh-CN"/>
              </w:rPr>
              <w:t>响应文件有效期</w:t>
            </w:r>
          </w:p>
        </w:tc>
        <w:tc>
          <w:tcPr>
            <w:tcW w:w="6152" w:type="dxa"/>
            <w:tcBorders>
              <w:top w:val="single" w:color="auto" w:sz="6" w:space="0"/>
              <w:left w:val="single" w:color="auto" w:sz="6" w:space="0"/>
              <w:bottom w:val="single" w:color="auto" w:sz="4" w:space="0"/>
              <w:right w:val="single" w:color="auto" w:sz="12" w:space="0"/>
            </w:tcBorders>
            <w:vAlign w:val="center"/>
          </w:tcPr>
          <w:p w14:paraId="5B65C14F">
            <w:pPr>
              <w:keepNext w:val="0"/>
              <w:keepLines w:val="0"/>
              <w:pageBreakBefore w:val="0"/>
              <w:kinsoku/>
              <w:wordWrap/>
              <w:overflowPunct/>
              <w:bidi w:val="0"/>
              <w:adjustRightInd w:val="0"/>
              <w:snapToGrid w:val="0"/>
              <w:spacing w:after="0" w:line="440" w:lineRule="exact"/>
              <w:ind w:firstLine="480" w:firstLineChars="200"/>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递交响应文件截止日期起</w:t>
            </w:r>
            <w:r>
              <w:rPr>
                <w:rFonts w:hint="eastAsia" w:ascii="宋体" w:hAnsi="宋体" w:cs="宋体"/>
                <w:color w:val="auto"/>
                <w:kern w:val="2"/>
                <w:sz w:val="24"/>
                <w:szCs w:val="24"/>
                <w:highlight w:val="none"/>
                <w:u w:val="single"/>
                <w:lang w:val="zh-CN"/>
              </w:rPr>
              <w:t xml:space="preserve"> 90 </w:t>
            </w:r>
            <w:r>
              <w:rPr>
                <w:rFonts w:hint="eastAsia" w:ascii="宋体" w:hAnsi="宋体" w:cs="宋体"/>
                <w:color w:val="auto"/>
                <w:kern w:val="2"/>
                <w:sz w:val="24"/>
                <w:szCs w:val="24"/>
                <w:highlight w:val="none"/>
                <w:lang w:val="zh-CN"/>
              </w:rPr>
              <w:t>日历天</w:t>
            </w:r>
          </w:p>
        </w:tc>
      </w:tr>
      <w:tr w14:paraId="6BFFD9AD">
        <w:tblPrEx>
          <w:tblCellMar>
            <w:top w:w="0" w:type="dxa"/>
            <w:left w:w="0" w:type="dxa"/>
            <w:bottom w:w="0" w:type="dxa"/>
            <w:right w:w="0" w:type="dxa"/>
          </w:tblCellMar>
        </w:tblPrEx>
        <w:trPr>
          <w:gridAfter w:val="1"/>
          <w:wAfter w:w="8" w:type="dxa"/>
          <w:trHeight w:val="72" w:hRule="atLeast"/>
          <w:jc w:val="center"/>
        </w:trPr>
        <w:tc>
          <w:tcPr>
            <w:tcW w:w="752" w:type="dxa"/>
            <w:tcBorders>
              <w:top w:val="single" w:color="auto" w:sz="6" w:space="0"/>
              <w:left w:val="single" w:color="auto" w:sz="12" w:space="0"/>
              <w:bottom w:val="single" w:color="auto" w:sz="4" w:space="0"/>
              <w:right w:val="single" w:color="auto" w:sz="6" w:space="0"/>
            </w:tcBorders>
            <w:vAlign w:val="center"/>
          </w:tcPr>
          <w:p w14:paraId="02948B07">
            <w:pPr>
              <w:keepNext w:val="0"/>
              <w:keepLines w:val="0"/>
              <w:pageBreakBefore w:val="0"/>
              <w:widowControl w:val="0"/>
              <w:kinsoku/>
              <w:wordWrap/>
              <w:overflowPunct/>
              <w:autoSpaceDE w:val="0"/>
              <w:autoSpaceDN w:val="0"/>
              <w:bidi w:val="0"/>
              <w:adjustRightInd w:val="0"/>
              <w:snapToGrid w:val="0"/>
              <w:spacing w:after="0" w:line="440" w:lineRule="exact"/>
              <w:ind w:left="22" w:leftChars="10" w:right="22" w:rightChars="10"/>
              <w:jc w:val="both"/>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21</w:t>
            </w:r>
          </w:p>
        </w:tc>
        <w:tc>
          <w:tcPr>
            <w:tcW w:w="2068" w:type="dxa"/>
            <w:tcBorders>
              <w:top w:val="single" w:color="auto" w:sz="6" w:space="0"/>
              <w:left w:val="single" w:color="auto" w:sz="12" w:space="0"/>
              <w:bottom w:val="single" w:color="auto" w:sz="4" w:space="0"/>
              <w:right w:val="single" w:color="auto" w:sz="6" w:space="0"/>
            </w:tcBorders>
            <w:vAlign w:val="center"/>
          </w:tcPr>
          <w:p w14:paraId="17A63D86">
            <w:pPr>
              <w:keepNext w:val="0"/>
              <w:keepLines w:val="0"/>
              <w:pageBreakBefore w:val="0"/>
              <w:widowControl w:val="0"/>
              <w:kinsoku/>
              <w:wordWrap/>
              <w:overflowPunct/>
              <w:autoSpaceDE w:val="0"/>
              <w:autoSpaceDN w:val="0"/>
              <w:bidi w:val="0"/>
              <w:adjustRightInd w:val="0"/>
              <w:snapToGrid w:val="0"/>
              <w:spacing w:after="0" w:line="440" w:lineRule="exact"/>
              <w:ind w:left="22" w:leftChars="10" w:right="22" w:rightChars="10"/>
              <w:jc w:val="both"/>
              <w:textAlignment w:val="auto"/>
              <w:rPr>
                <w:rFonts w:ascii="宋体" w:hAnsi="宋体"/>
                <w:color w:val="auto"/>
                <w:kern w:val="2"/>
                <w:sz w:val="24"/>
                <w:szCs w:val="24"/>
                <w:highlight w:val="none"/>
                <w:lang w:val="zh-CN"/>
              </w:rPr>
            </w:pPr>
            <w:r>
              <w:rPr>
                <w:rFonts w:hint="eastAsia" w:ascii="宋体" w:hAnsi="宋体"/>
                <w:color w:val="auto"/>
                <w:kern w:val="2"/>
                <w:sz w:val="24"/>
                <w:szCs w:val="24"/>
                <w:highlight w:val="none"/>
                <w:lang w:val="zh-CN"/>
              </w:rPr>
              <w:t>响应文件形式</w:t>
            </w:r>
          </w:p>
        </w:tc>
        <w:tc>
          <w:tcPr>
            <w:tcW w:w="6152" w:type="dxa"/>
            <w:tcBorders>
              <w:top w:val="single" w:color="auto" w:sz="6" w:space="0"/>
              <w:left w:val="single" w:color="auto" w:sz="6" w:space="0"/>
              <w:bottom w:val="single" w:color="auto" w:sz="4" w:space="0"/>
              <w:right w:val="single" w:color="auto" w:sz="12" w:space="0"/>
            </w:tcBorders>
            <w:vAlign w:val="center"/>
          </w:tcPr>
          <w:p w14:paraId="26AB5BDD">
            <w:pPr>
              <w:keepNext w:val="0"/>
              <w:keepLines w:val="0"/>
              <w:pageBreakBefore w:val="0"/>
              <w:kinsoku/>
              <w:wordWrap/>
              <w:overflowPunct/>
              <w:bidi w:val="0"/>
              <w:adjustRightInd w:val="0"/>
              <w:snapToGrid w:val="0"/>
              <w:spacing w:after="0"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本项目在响应时递交电子响应文件。</w:t>
            </w:r>
          </w:p>
          <w:p w14:paraId="030182B4">
            <w:pPr>
              <w:keepNext w:val="0"/>
              <w:keepLines w:val="0"/>
              <w:pageBreakBefore w:val="0"/>
              <w:kinsoku/>
              <w:wordWrap/>
              <w:overflowPunct/>
              <w:bidi w:val="0"/>
              <w:adjustRightInd w:val="0"/>
              <w:snapToGrid w:val="0"/>
              <w:spacing w:after="0" w:line="440" w:lineRule="exact"/>
              <w:ind w:firstLine="480" w:firstLineChars="200"/>
              <w:textAlignment w:val="auto"/>
              <w:rPr>
                <w:rFonts w:ascii="宋体" w:hAnsi="宋体" w:cs="宋体"/>
                <w:color w:val="auto"/>
                <w:kern w:val="2"/>
                <w:sz w:val="24"/>
                <w:szCs w:val="24"/>
                <w:highlight w:val="none"/>
                <w:lang w:val="zh-CN"/>
              </w:rPr>
            </w:pP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应在领取成交通知书时递交</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份纸质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文件（内容必须与电子投标文件一致）</w:t>
            </w:r>
          </w:p>
        </w:tc>
      </w:tr>
      <w:tr w14:paraId="41363772">
        <w:tblPrEx>
          <w:tblCellMar>
            <w:top w:w="0" w:type="dxa"/>
            <w:left w:w="0" w:type="dxa"/>
            <w:bottom w:w="0" w:type="dxa"/>
            <w:right w:w="0" w:type="dxa"/>
          </w:tblCellMar>
        </w:tblPrEx>
        <w:trPr>
          <w:gridAfter w:val="1"/>
          <w:wAfter w:w="8" w:type="dxa"/>
          <w:trHeight w:val="77" w:hRule="atLeast"/>
          <w:jc w:val="center"/>
        </w:trPr>
        <w:tc>
          <w:tcPr>
            <w:tcW w:w="752" w:type="dxa"/>
            <w:tcBorders>
              <w:top w:val="single" w:color="auto" w:sz="4" w:space="0"/>
              <w:left w:val="single" w:color="auto" w:sz="12" w:space="0"/>
              <w:bottom w:val="single" w:color="auto" w:sz="4" w:space="0"/>
              <w:right w:val="single" w:color="auto" w:sz="4" w:space="0"/>
            </w:tcBorders>
            <w:vAlign w:val="center"/>
          </w:tcPr>
          <w:p w14:paraId="514EBB15">
            <w:pPr>
              <w:keepNext w:val="0"/>
              <w:keepLines w:val="0"/>
              <w:pageBreakBefore w:val="0"/>
              <w:kinsoku/>
              <w:wordWrap/>
              <w:overflowPunct/>
              <w:autoSpaceDE w:val="0"/>
              <w:autoSpaceDN w:val="0"/>
              <w:bidi w:val="0"/>
              <w:adjustRightInd w:val="0"/>
              <w:snapToGrid w:val="0"/>
              <w:spacing w:after="0" w:line="440" w:lineRule="exact"/>
              <w:ind w:left="22" w:leftChars="10" w:right="22" w:rightChars="10"/>
              <w:textAlignment w:val="auto"/>
              <w:rPr>
                <w:rFonts w:ascii="宋体" w:hAnsi="宋体"/>
                <w:color w:val="auto"/>
                <w:kern w:val="2"/>
                <w:sz w:val="24"/>
                <w:szCs w:val="24"/>
                <w:highlight w:val="none"/>
              </w:rPr>
            </w:pPr>
            <w:r>
              <w:rPr>
                <w:rFonts w:hint="eastAsia" w:ascii="宋体" w:hAnsi="宋体"/>
                <w:color w:val="auto"/>
                <w:kern w:val="2"/>
                <w:sz w:val="24"/>
                <w:szCs w:val="24"/>
                <w:highlight w:val="none"/>
              </w:rPr>
              <w:t>22.1</w:t>
            </w:r>
          </w:p>
        </w:tc>
        <w:tc>
          <w:tcPr>
            <w:tcW w:w="2068" w:type="dxa"/>
            <w:tcBorders>
              <w:top w:val="single" w:color="auto" w:sz="4" w:space="0"/>
              <w:left w:val="single" w:color="auto" w:sz="12" w:space="0"/>
              <w:bottom w:val="single" w:color="auto" w:sz="4" w:space="0"/>
              <w:right w:val="single" w:color="auto" w:sz="4" w:space="0"/>
            </w:tcBorders>
            <w:vAlign w:val="center"/>
          </w:tcPr>
          <w:p w14:paraId="546C0180">
            <w:pPr>
              <w:keepNext w:val="0"/>
              <w:keepLines w:val="0"/>
              <w:pageBreakBefore w:val="0"/>
              <w:widowControl w:val="0"/>
              <w:kinsoku/>
              <w:wordWrap/>
              <w:overflowPunct/>
              <w:autoSpaceDE w:val="0"/>
              <w:autoSpaceDN w:val="0"/>
              <w:bidi w:val="0"/>
              <w:adjustRightInd w:val="0"/>
              <w:snapToGrid w:val="0"/>
              <w:spacing w:after="0" w:line="440" w:lineRule="exact"/>
              <w:ind w:left="22" w:leftChars="10" w:right="22" w:rightChars="10"/>
              <w:jc w:val="both"/>
              <w:textAlignment w:val="auto"/>
              <w:rPr>
                <w:rFonts w:ascii="宋体" w:hAnsi="宋体" w:cs="宋体"/>
                <w:color w:val="auto"/>
                <w:kern w:val="2"/>
                <w:sz w:val="24"/>
                <w:szCs w:val="24"/>
                <w:highlight w:val="none"/>
                <w:lang w:val="zh-CN"/>
              </w:rPr>
            </w:pPr>
            <w:r>
              <w:rPr>
                <w:rFonts w:hint="eastAsia" w:ascii="宋体" w:hAnsi="宋体"/>
                <w:color w:val="auto"/>
                <w:kern w:val="2"/>
                <w:sz w:val="24"/>
                <w:szCs w:val="24"/>
                <w:highlight w:val="none"/>
                <w:lang w:val="zh-CN"/>
              </w:rPr>
              <w:t>样品</w:t>
            </w:r>
          </w:p>
        </w:tc>
        <w:tc>
          <w:tcPr>
            <w:tcW w:w="6152" w:type="dxa"/>
            <w:tcBorders>
              <w:top w:val="single" w:color="auto" w:sz="4" w:space="0"/>
              <w:left w:val="single" w:color="auto" w:sz="4" w:space="0"/>
              <w:bottom w:val="single" w:color="auto" w:sz="4" w:space="0"/>
              <w:right w:val="single" w:color="auto" w:sz="12" w:space="0"/>
            </w:tcBorders>
            <w:vAlign w:val="center"/>
          </w:tcPr>
          <w:p w14:paraId="7B067151">
            <w:pPr>
              <w:keepNext w:val="0"/>
              <w:keepLines w:val="0"/>
              <w:pageBreakBefore w:val="0"/>
              <w:kinsoku/>
              <w:wordWrap/>
              <w:overflowPunct/>
              <w:bidi w:val="0"/>
              <w:adjustRightInd w:val="0"/>
              <w:snapToGrid w:val="0"/>
              <w:spacing w:after="0" w:line="440" w:lineRule="exact"/>
              <w:textAlignment w:val="auto"/>
              <w:rPr>
                <w:rFonts w:ascii="宋体" w:hAnsi="宋体"/>
                <w:color w:val="auto"/>
                <w:kern w:val="2"/>
                <w:sz w:val="24"/>
                <w:szCs w:val="24"/>
                <w:highlight w:val="none"/>
                <w:lang w:val="zh-CN"/>
              </w:rPr>
            </w:pPr>
            <w:sdt>
              <w:sdtPr>
                <w:rPr>
                  <w:rFonts w:hint="eastAsia" w:ascii="宋体" w:hAnsi="宋体" w:cs="宋体"/>
                  <w:bCs/>
                  <w:color w:val="auto"/>
                  <w:kern w:val="2"/>
                  <w:sz w:val="24"/>
                  <w:szCs w:val="24"/>
                  <w:highlight w:val="none"/>
                </w:rPr>
                <w:id w:val="1279611979"/>
                <w14:checkbox>
                  <w14:checked w14:val="1"/>
                  <w14:checkedState w14:val="0052" w14:font="Wingdings 2"/>
                  <w14:uncheckedState w14:val="00A3" w14:font="Wingdings 2"/>
                </w14:checkbox>
              </w:sdtPr>
              <w:sdtEndPr>
                <w:rPr>
                  <w:rFonts w:hint="eastAsia" w:ascii="宋体" w:hAnsi="宋体" w:cs="宋体"/>
                  <w:bCs/>
                  <w:color w:val="auto"/>
                  <w:kern w:val="2"/>
                  <w:sz w:val="24"/>
                  <w:szCs w:val="24"/>
                  <w:highlight w:val="none"/>
                </w:rPr>
              </w:sdtEndPr>
              <w:sdtContent>
                <w:r>
                  <w:rPr>
                    <w:rFonts w:ascii="Wingdings 2" w:hAnsi="Wingdings 2" w:eastAsia="宋体" w:cs="宋体"/>
                    <w:bCs/>
                    <w:color w:val="auto"/>
                    <w:kern w:val="2"/>
                    <w:sz w:val="24"/>
                    <w:szCs w:val="24"/>
                    <w:highlight w:val="none"/>
                    <w:lang w:val="en-US" w:eastAsia="zh-CN" w:bidi="ar-SA"/>
                  </w:rPr>
                  <w:t>R</w:t>
                </w:r>
              </w:sdtContent>
            </w:sdt>
            <w:r>
              <w:rPr>
                <w:rFonts w:hint="eastAsia" w:ascii="宋体" w:hAnsi="宋体" w:cs="宋体"/>
                <w:color w:val="auto"/>
                <w:kern w:val="2"/>
                <w:sz w:val="24"/>
                <w:szCs w:val="24"/>
                <w:highlight w:val="none"/>
                <w:lang w:val="zh-CN"/>
              </w:rPr>
              <w:t>不需要</w:t>
            </w:r>
          </w:p>
        </w:tc>
      </w:tr>
      <w:tr w14:paraId="4046AD48">
        <w:tblPrEx>
          <w:tblCellMar>
            <w:top w:w="0" w:type="dxa"/>
            <w:left w:w="0" w:type="dxa"/>
            <w:bottom w:w="0" w:type="dxa"/>
            <w:right w:w="0" w:type="dxa"/>
          </w:tblCellMar>
        </w:tblPrEx>
        <w:trPr>
          <w:gridAfter w:val="1"/>
          <w:wAfter w:w="8" w:type="dxa"/>
          <w:trHeight w:val="77" w:hRule="atLeast"/>
          <w:jc w:val="center"/>
        </w:trPr>
        <w:tc>
          <w:tcPr>
            <w:tcW w:w="752" w:type="dxa"/>
            <w:tcBorders>
              <w:top w:val="single" w:color="auto" w:sz="4" w:space="0"/>
              <w:left w:val="single" w:color="auto" w:sz="12" w:space="0"/>
              <w:bottom w:val="single" w:color="auto" w:sz="4" w:space="0"/>
              <w:right w:val="single" w:color="auto" w:sz="4" w:space="0"/>
            </w:tcBorders>
            <w:vAlign w:val="center"/>
          </w:tcPr>
          <w:p w14:paraId="57F9F68A">
            <w:pPr>
              <w:keepNext w:val="0"/>
              <w:keepLines w:val="0"/>
              <w:pageBreakBefore w:val="0"/>
              <w:kinsoku/>
              <w:wordWrap/>
              <w:overflowPunct/>
              <w:autoSpaceDE w:val="0"/>
              <w:autoSpaceDN w:val="0"/>
              <w:bidi w:val="0"/>
              <w:adjustRightInd w:val="0"/>
              <w:snapToGrid w:val="0"/>
              <w:spacing w:after="0" w:line="440" w:lineRule="exact"/>
              <w:ind w:left="22" w:leftChars="10" w:right="22" w:rightChars="10"/>
              <w:textAlignment w:val="auto"/>
              <w:rPr>
                <w:rFonts w:ascii="宋体" w:hAnsi="宋体"/>
                <w:color w:val="auto"/>
                <w:kern w:val="2"/>
                <w:sz w:val="24"/>
                <w:szCs w:val="24"/>
                <w:highlight w:val="none"/>
              </w:rPr>
            </w:pPr>
            <w:r>
              <w:rPr>
                <w:rFonts w:hint="eastAsia" w:ascii="宋体" w:hAnsi="宋体"/>
                <w:color w:val="auto"/>
                <w:kern w:val="2"/>
                <w:sz w:val="24"/>
                <w:szCs w:val="24"/>
                <w:highlight w:val="none"/>
              </w:rPr>
              <w:t>22.2</w:t>
            </w:r>
          </w:p>
        </w:tc>
        <w:tc>
          <w:tcPr>
            <w:tcW w:w="2068" w:type="dxa"/>
            <w:tcBorders>
              <w:top w:val="single" w:color="auto" w:sz="4" w:space="0"/>
              <w:left w:val="single" w:color="auto" w:sz="12" w:space="0"/>
              <w:bottom w:val="single" w:color="auto" w:sz="4" w:space="0"/>
              <w:right w:val="single" w:color="auto" w:sz="4" w:space="0"/>
            </w:tcBorders>
            <w:vAlign w:val="center"/>
          </w:tcPr>
          <w:p w14:paraId="2B73FC14">
            <w:pPr>
              <w:keepNext w:val="0"/>
              <w:keepLines w:val="0"/>
              <w:pageBreakBefore w:val="0"/>
              <w:widowControl w:val="0"/>
              <w:kinsoku/>
              <w:wordWrap/>
              <w:overflowPunct/>
              <w:autoSpaceDE w:val="0"/>
              <w:autoSpaceDN w:val="0"/>
              <w:bidi w:val="0"/>
              <w:adjustRightInd w:val="0"/>
              <w:snapToGrid w:val="0"/>
              <w:spacing w:after="0" w:line="440" w:lineRule="exact"/>
              <w:ind w:left="22" w:leftChars="10" w:right="22" w:rightChars="10"/>
              <w:jc w:val="both"/>
              <w:textAlignment w:val="auto"/>
              <w:rPr>
                <w:rFonts w:ascii="宋体" w:hAnsi="宋体"/>
                <w:color w:val="auto"/>
                <w:kern w:val="2"/>
                <w:sz w:val="24"/>
                <w:szCs w:val="24"/>
                <w:highlight w:val="none"/>
                <w:lang w:val="zh-CN"/>
              </w:rPr>
            </w:pPr>
            <w:r>
              <w:rPr>
                <w:rFonts w:hint="eastAsia" w:ascii="宋体" w:hAnsi="宋体"/>
                <w:color w:val="auto"/>
                <w:kern w:val="2"/>
                <w:sz w:val="24"/>
                <w:szCs w:val="24"/>
                <w:highlight w:val="none"/>
                <w:lang w:val="zh-CN"/>
              </w:rPr>
              <w:t>现场演示</w:t>
            </w:r>
          </w:p>
        </w:tc>
        <w:tc>
          <w:tcPr>
            <w:tcW w:w="6152" w:type="dxa"/>
            <w:tcBorders>
              <w:top w:val="single" w:color="auto" w:sz="4" w:space="0"/>
              <w:left w:val="single" w:color="auto" w:sz="4" w:space="0"/>
              <w:bottom w:val="single" w:color="auto" w:sz="4" w:space="0"/>
              <w:right w:val="single" w:color="auto" w:sz="12" w:space="0"/>
            </w:tcBorders>
            <w:vAlign w:val="center"/>
          </w:tcPr>
          <w:p w14:paraId="0987F821">
            <w:pPr>
              <w:keepNext w:val="0"/>
              <w:keepLines w:val="0"/>
              <w:pageBreakBefore w:val="0"/>
              <w:kinsoku/>
              <w:wordWrap/>
              <w:overflowPunct/>
              <w:bidi w:val="0"/>
              <w:adjustRightInd w:val="0"/>
              <w:snapToGrid w:val="0"/>
              <w:spacing w:after="0" w:line="440" w:lineRule="exact"/>
              <w:textAlignment w:val="auto"/>
              <w:rPr>
                <w:rFonts w:ascii="宋体" w:hAnsi="宋体" w:cs="宋体"/>
                <w:bCs/>
                <w:color w:val="auto"/>
                <w:kern w:val="2"/>
                <w:sz w:val="24"/>
                <w:szCs w:val="24"/>
                <w:highlight w:val="none"/>
              </w:rPr>
            </w:pPr>
            <w:sdt>
              <w:sdtPr>
                <w:rPr>
                  <w:rFonts w:hint="eastAsia" w:ascii="宋体" w:hAnsi="宋体" w:cs="宋体"/>
                  <w:color w:val="auto"/>
                  <w:kern w:val="2"/>
                  <w:sz w:val="24"/>
                  <w:szCs w:val="24"/>
                  <w:highlight w:val="none"/>
                  <w:lang w:val="zh-CN"/>
                </w:rPr>
                <w:id w:val="460397733"/>
                <w14:checkbox>
                  <w14:checked w14:val="1"/>
                  <w14:checkedState w14:val="0052" w14:font="Wingdings 2"/>
                  <w14:uncheckedState w14:val="00A3" w14:font="Wingdings 2"/>
                </w14:checkbox>
              </w:sdtPr>
              <w:sdtEndPr>
                <w:rPr>
                  <w:rFonts w:hint="eastAsia" w:ascii="宋体" w:hAnsi="宋体" w:cs="宋体"/>
                  <w:color w:val="auto"/>
                  <w:kern w:val="2"/>
                  <w:sz w:val="24"/>
                  <w:szCs w:val="24"/>
                  <w:highlight w:val="none"/>
                  <w:lang w:val="zh-CN"/>
                </w:rPr>
              </w:sdtEndPr>
              <w:sdtContent>
                <w:r>
                  <w:rPr>
                    <w:rFonts w:ascii="Wingdings 2" w:hAnsi="Wingdings 2" w:eastAsia="宋体" w:cs="宋体"/>
                    <w:color w:val="auto"/>
                    <w:kern w:val="2"/>
                    <w:sz w:val="24"/>
                    <w:szCs w:val="24"/>
                    <w:highlight w:val="none"/>
                    <w:lang w:val="zh-CN" w:eastAsia="zh-CN" w:bidi="ar-SA"/>
                  </w:rPr>
                  <w:t>R</w:t>
                </w:r>
              </w:sdtContent>
            </w:sdt>
            <w:r>
              <w:rPr>
                <w:rFonts w:hint="eastAsia" w:ascii="宋体" w:hAnsi="宋体" w:cs="宋体"/>
                <w:color w:val="auto"/>
                <w:kern w:val="2"/>
                <w:sz w:val="24"/>
                <w:szCs w:val="24"/>
                <w:highlight w:val="none"/>
                <w:lang w:val="zh-CN"/>
              </w:rPr>
              <w:t>不需要</w:t>
            </w:r>
          </w:p>
        </w:tc>
      </w:tr>
      <w:tr w14:paraId="0AFD0605">
        <w:tblPrEx>
          <w:tblCellMar>
            <w:top w:w="0" w:type="dxa"/>
            <w:left w:w="0" w:type="dxa"/>
            <w:bottom w:w="0" w:type="dxa"/>
            <w:right w:w="0" w:type="dxa"/>
          </w:tblCellMar>
        </w:tblPrEx>
        <w:trPr>
          <w:gridAfter w:val="1"/>
          <w:wAfter w:w="8" w:type="dxa"/>
          <w:trHeight w:val="77" w:hRule="atLeast"/>
          <w:jc w:val="center"/>
        </w:trPr>
        <w:tc>
          <w:tcPr>
            <w:tcW w:w="752" w:type="dxa"/>
            <w:tcBorders>
              <w:top w:val="single" w:color="auto" w:sz="4" w:space="0"/>
              <w:left w:val="single" w:color="auto" w:sz="12" w:space="0"/>
              <w:bottom w:val="single" w:color="auto" w:sz="4" w:space="0"/>
              <w:right w:val="single" w:color="auto" w:sz="4" w:space="0"/>
            </w:tcBorders>
            <w:vAlign w:val="center"/>
          </w:tcPr>
          <w:p w14:paraId="72726BD5">
            <w:pPr>
              <w:keepNext w:val="0"/>
              <w:keepLines w:val="0"/>
              <w:pageBreakBefore w:val="0"/>
              <w:kinsoku/>
              <w:wordWrap/>
              <w:overflowPunct/>
              <w:autoSpaceDE w:val="0"/>
              <w:autoSpaceDN w:val="0"/>
              <w:bidi w:val="0"/>
              <w:adjustRightInd w:val="0"/>
              <w:snapToGrid w:val="0"/>
              <w:spacing w:after="0" w:line="440" w:lineRule="exact"/>
              <w:ind w:left="22" w:leftChars="10" w:right="22" w:rightChars="10"/>
              <w:textAlignment w:val="auto"/>
              <w:rPr>
                <w:rFonts w:ascii="宋体" w:hAnsi="宋体"/>
                <w:color w:val="auto"/>
                <w:kern w:val="2"/>
                <w:sz w:val="24"/>
                <w:szCs w:val="24"/>
                <w:highlight w:val="none"/>
              </w:rPr>
            </w:pPr>
            <w:r>
              <w:rPr>
                <w:rFonts w:hint="eastAsia" w:ascii="宋体" w:hAnsi="宋体"/>
                <w:color w:val="auto"/>
                <w:kern w:val="2"/>
                <w:sz w:val="24"/>
                <w:szCs w:val="24"/>
                <w:highlight w:val="none"/>
              </w:rPr>
              <w:t>23</w:t>
            </w:r>
          </w:p>
        </w:tc>
        <w:tc>
          <w:tcPr>
            <w:tcW w:w="2068" w:type="dxa"/>
            <w:tcBorders>
              <w:top w:val="single" w:color="auto" w:sz="4" w:space="0"/>
              <w:left w:val="single" w:color="auto" w:sz="12" w:space="0"/>
              <w:bottom w:val="single" w:color="auto" w:sz="4" w:space="0"/>
              <w:right w:val="single" w:color="auto" w:sz="4" w:space="0"/>
            </w:tcBorders>
            <w:vAlign w:val="center"/>
          </w:tcPr>
          <w:p w14:paraId="2A9FD1ED">
            <w:pPr>
              <w:keepNext w:val="0"/>
              <w:keepLines w:val="0"/>
              <w:pageBreakBefore w:val="0"/>
              <w:widowControl w:val="0"/>
              <w:kinsoku/>
              <w:wordWrap/>
              <w:overflowPunct/>
              <w:autoSpaceDE w:val="0"/>
              <w:autoSpaceDN w:val="0"/>
              <w:bidi w:val="0"/>
              <w:adjustRightInd w:val="0"/>
              <w:snapToGrid w:val="0"/>
              <w:spacing w:after="0" w:line="440" w:lineRule="exact"/>
              <w:ind w:left="22" w:leftChars="10" w:right="22" w:rightChars="10"/>
              <w:jc w:val="both"/>
              <w:textAlignment w:val="auto"/>
              <w:rPr>
                <w:rFonts w:ascii="宋体" w:hAnsi="宋体"/>
                <w:color w:val="auto"/>
                <w:kern w:val="2"/>
                <w:sz w:val="24"/>
                <w:szCs w:val="24"/>
                <w:highlight w:val="none"/>
                <w:lang w:val="zh-CN"/>
              </w:rPr>
            </w:pPr>
            <w:r>
              <w:rPr>
                <w:rFonts w:hint="eastAsia" w:ascii="宋体" w:hAnsi="宋体" w:cs="宋体"/>
                <w:color w:val="auto"/>
                <w:kern w:val="2"/>
                <w:sz w:val="24"/>
                <w:szCs w:val="24"/>
                <w:highlight w:val="none"/>
              </w:rPr>
              <w:t>上传响应文件截止时间</w:t>
            </w:r>
          </w:p>
        </w:tc>
        <w:tc>
          <w:tcPr>
            <w:tcW w:w="6152" w:type="dxa"/>
            <w:tcBorders>
              <w:top w:val="single" w:color="auto" w:sz="4" w:space="0"/>
              <w:left w:val="single" w:color="auto" w:sz="4" w:space="0"/>
              <w:bottom w:val="single" w:color="auto" w:sz="4" w:space="0"/>
              <w:right w:val="single" w:color="auto" w:sz="12" w:space="0"/>
            </w:tcBorders>
            <w:vAlign w:val="center"/>
          </w:tcPr>
          <w:p w14:paraId="50453B33">
            <w:pPr>
              <w:keepNext w:val="0"/>
              <w:keepLines w:val="0"/>
              <w:pageBreakBefore w:val="0"/>
              <w:kinsoku/>
              <w:wordWrap/>
              <w:overflowPunct/>
              <w:bidi w:val="0"/>
              <w:adjustRightInd w:val="0"/>
              <w:snapToGrid w:val="0"/>
              <w:spacing w:after="0" w:line="440" w:lineRule="exact"/>
              <w:ind w:firstLine="480" w:firstLineChars="200"/>
              <w:textAlignment w:val="auto"/>
              <w:rPr>
                <w:rFonts w:ascii="宋体" w:hAnsi="宋体" w:cs="宋体"/>
                <w:bCs/>
                <w:color w:val="auto"/>
                <w:kern w:val="2"/>
                <w:sz w:val="24"/>
                <w:szCs w:val="24"/>
                <w:highlight w:val="none"/>
              </w:rPr>
            </w:pPr>
            <w:r>
              <w:rPr>
                <w:rFonts w:hint="eastAsia" w:ascii="宋体" w:hAnsi="宋体"/>
                <w:color w:val="auto"/>
                <w:sz w:val="24"/>
                <w:szCs w:val="24"/>
                <w:highlight w:val="none"/>
              </w:rPr>
              <w:t>详见第一章竞争性磋商公告</w:t>
            </w:r>
          </w:p>
        </w:tc>
      </w:tr>
      <w:tr w14:paraId="0BC7B2D8">
        <w:tblPrEx>
          <w:tblCellMar>
            <w:top w:w="0" w:type="dxa"/>
            <w:left w:w="0" w:type="dxa"/>
            <w:bottom w:w="0" w:type="dxa"/>
            <w:right w:w="0" w:type="dxa"/>
          </w:tblCellMar>
        </w:tblPrEx>
        <w:trPr>
          <w:gridAfter w:val="1"/>
          <w:wAfter w:w="8" w:type="dxa"/>
          <w:trHeight w:val="77" w:hRule="atLeast"/>
          <w:jc w:val="center"/>
        </w:trPr>
        <w:tc>
          <w:tcPr>
            <w:tcW w:w="752" w:type="dxa"/>
            <w:tcBorders>
              <w:top w:val="single" w:color="auto" w:sz="4" w:space="0"/>
              <w:left w:val="single" w:color="auto" w:sz="12" w:space="0"/>
              <w:bottom w:val="single" w:color="auto" w:sz="4" w:space="0"/>
              <w:right w:val="single" w:color="auto" w:sz="4" w:space="0"/>
            </w:tcBorders>
            <w:vAlign w:val="center"/>
          </w:tcPr>
          <w:p w14:paraId="27DCB646">
            <w:pPr>
              <w:keepNext w:val="0"/>
              <w:keepLines w:val="0"/>
              <w:pageBreakBefore w:val="0"/>
              <w:kinsoku/>
              <w:wordWrap/>
              <w:overflowPunct/>
              <w:autoSpaceDE w:val="0"/>
              <w:autoSpaceDN w:val="0"/>
              <w:bidi w:val="0"/>
              <w:adjustRightInd w:val="0"/>
              <w:snapToGrid w:val="0"/>
              <w:spacing w:after="0" w:line="440" w:lineRule="exact"/>
              <w:ind w:left="22" w:leftChars="10" w:right="22" w:rightChars="10"/>
              <w:textAlignment w:val="auto"/>
              <w:rPr>
                <w:rFonts w:ascii="宋体" w:hAnsi="宋体"/>
                <w:color w:val="auto"/>
                <w:kern w:val="2"/>
                <w:sz w:val="24"/>
                <w:szCs w:val="24"/>
                <w:highlight w:val="none"/>
              </w:rPr>
            </w:pPr>
            <w:r>
              <w:rPr>
                <w:rFonts w:hint="eastAsia" w:ascii="宋体" w:hAnsi="宋体"/>
                <w:color w:val="auto"/>
                <w:kern w:val="2"/>
                <w:sz w:val="24"/>
                <w:szCs w:val="24"/>
                <w:highlight w:val="none"/>
              </w:rPr>
              <w:t>23.2</w:t>
            </w:r>
          </w:p>
        </w:tc>
        <w:tc>
          <w:tcPr>
            <w:tcW w:w="2068" w:type="dxa"/>
            <w:tcBorders>
              <w:top w:val="single" w:color="auto" w:sz="4" w:space="0"/>
              <w:left w:val="single" w:color="auto" w:sz="12" w:space="0"/>
              <w:bottom w:val="single" w:color="auto" w:sz="4" w:space="0"/>
              <w:right w:val="single" w:color="auto" w:sz="4" w:space="0"/>
            </w:tcBorders>
            <w:vAlign w:val="center"/>
          </w:tcPr>
          <w:p w14:paraId="594967B5">
            <w:pPr>
              <w:keepNext w:val="0"/>
              <w:keepLines w:val="0"/>
              <w:pageBreakBefore w:val="0"/>
              <w:widowControl w:val="0"/>
              <w:kinsoku/>
              <w:wordWrap/>
              <w:overflowPunct/>
              <w:autoSpaceDE w:val="0"/>
              <w:autoSpaceDN w:val="0"/>
              <w:bidi w:val="0"/>
              <w:adjustRightInd w:val="0"/>
              <w:snapToGrid w:val="0"/>
              <w:spacing w:after="0" w:line="440" w:lineRule="exact"/>
              <w:ind w:left="22" w:leftChars="10" w:right="22" w:rightChars="10"/>
              <w:jc w:val="both"/>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递交纸质响应文件（如需）、样品（如需）地点</w:t>
            </w:r>
          </w:p>
        </w:tc>
        <w:tc>
          <w:tcPr>
            <w:tcW w:w="6152" w:type="dxa"/>
            <w:tcBorders>
              <w:top w:val="single" w:color="auto" w:sz="4" w:space="0"/>
              <w:left w:val="single" w:color="auto" w:sz="4" w:space="0"/>
              <w:bottom w:val="single" w:color="auto" w:sz="4" w:space="0"/>
              <w:right w:val="single" w:color="auto" w:sz="12" w:space="0"/>
            </w:tcBorders>
            <w:vAlign w:val="center"/>
          </w:tcPr>
          <w:p w14:paraId="701C6125">
            <w:pPr>
              <w:keepNext w:val="0"/>
              <w:keepLines w:val="0"/>
              <w:pageBreakBefore w:val="0"/>
              <w:kinsoku/>
              <w:wordWrap/>
              <w:overflowPunct/>
              <w:bidi w:val="0"/>
              <w:adjustRightInd w:val="0"/>
              <w:snapToGrid w:val="0"/>
              <w:spacing w:after="0" w:line="440" w:lineRule="exact"/>
              <w:ind w:firstLine="480" w:firstLineChars="200"/>
              <w:textAlignment w:val="auto"/>
              <w:rPr>
                <w:rFonts w:ascii="宋体" w:hAnsi="宋体"/>
                <w:color w:val="auto"/>
                <w:kern w:val="2"/>
                <w:sz w:val="24"/>
                <w:szCs w:val="24"/>
                <w:highlight w:val="none"/>
                <w:lang w:val="zh-CN"/>
              </w:rPr>
            </w:pPr>
            <w:r>
              <w:rPr>
                <w:rFonts w:hint="eastAsia" w:ascii="宋体" w:hAnsi="宋体"/>
                <w:color w:val="auto"/>
                <w:sz w:val="24"/>
                <w:szCs w:val="24"/>
                <w:highlight w:val="none"/>
              </w:rPr>
              <w:t>详见第一章竞争性磋商公告</w:t>
            </w:r>
          </w:p>
        </w:tc>
      </w:tr>
      <w:tr w14:paraId="7591D3FC">
        <w:tblPrEx>
          <w:tblCellMar>
            <w:top w:w="0" w:type="dxa"/>
            <w:left w:w="0" w:type="dxa"/>
            <w:bottom w:w="0" w:type="dxa"/>
            <w:right w:w="0" w:type="dxa"/>
          </w:tblCellMar>
        </w:tblPrEx>
        <w:trPr>
          <w:gridAfter w:val="1"/>
          <w:wAfter w:w="8" w:type="dxa"/>
          <w:trHeight w:val="77" w:hRule="atLeast"/>
          <w:jc w:val="center"/>
        </w:trPr>
        <w:tc>
          <w:tcPr>
            <w:tcW w:w="752" w:type="dxa"/>
            <w:tcBorders>
              <w:top w:val="single" w:color="auto" w:sz="4" w:space="0"/>
              <w:left w:val="single" w:color="auto" w:sz="12" w:space="0"/>
              <w:bottom w:val="single" w:color="auto" w:sz="4" w:space="0"/>
              <w:right w:val="single" w:color="auto" w:sz="4" w:space="0"/>
            </w:tcBorders>
            <w:vAlign w:val="center"/>
          </w:tcPr>
          <w:p w14:paraId="0724B940">
            <w:pPr>
              <w:keepNext w:val="0"/>
              <w:keepLines w:val="0"/>
              <w:pageBreakBefore w:val="0"/>
              <w:kinsoku/>
              <w:wordWrap/>
              <w:overflowPunct/>
              <w:autoSpaceDE w:val="0"/>
              <w:autoSpaceDN w:val="0"/>
              <w:bidi w:val="0"/>
              <w:adjustRightInd w:val="0"/>
              <w:snapToGrid w:val="0"/>
              <w:spacing w:after="0" w:line="440" w:lineRule="exact"/>
              <w:ind w:left="22" w:leftChars="10" w:right="22" w:rightChars="10"/>
              <w:textAlignment w:val="auto"/>
              <w:rPr>
                <w:rFonts w:ascii="宋体" w:hAnsi="宋体"/>
                <w:color w:val="auto"/>
                <w:kern w:val="2"/>
                <w:sz w:val="24"/>
                <w:szCs w:val="24"/>
                <w:highlight w:val="none"/>
              </w:rPr>
            </w:pPr>
            <w:r>
              <w:rPr>
                <w:rFonts w:hint="eastAsia" w:ascii="宋体" w:hAnsi="宋体"/>
                <w:color w:val="auto"/>
                <w:kern w:val="2"/>
                <w:sz w:val="24"/>
                <w:szCs w:val="24"/>
                <w:highlight w:val="none"/>
              </w:rPr>
              <w:t>25</w:t>
            </w:r>
          </w:p>
        </w:tc>
        <w:tc>
          <w:tcPr>
            <w:tcW w:w="2068" w:type="dxa"/>
            <w:tcBorders>
              <w:top w:val="single" w:color="auto" w:sz="4" w:space="0"/>
              <w:left w:val="single" w:color="auto" w:sz="12" w:space="0"/>
              <w:bottom w:val="single" w:color="auto" w:sz="4" w:space="0"/>
              <w:right w:val="single" w:color="auto" w:sz="4" w:space="0"/>
            </w:tcBorders>
            <w:vAlign w:val="center"/>
          </w:tcPr>
          <w:p w14:paraId="26E3893E">
            <w:pPr>
              <w:keepNext w:val="0"/>
              <w:keepLines w:val="0"/>
              <w:pageBreakBefore w:val="0"/>
              <w:widowControl w:val="0"/>
              <w:kinsoku/>
              <w:wordWrap/>
              <w:overflowPunct/>
              <w:autoSpaceDE w:val="0"/>
              <w:autoSpaceDN w:val="0"/>
              <w:bidi w:val="0"/>
              <w:adjustRightInd w:val="0"/>
              <w:snapToGrid w:val="0"/>
              <w:spacing w:after="0" w:line="440" w:lineRule="exact"/>
              <w:ind w:left="22" w:leftChars="10" w:right="22" w:rightChars="10"/>
              <w:jc w:val="both"/>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开启时间及解密时间</w:t>
            </w:r>
          </w:p>
        </w:tc>
        <w:tc>
          <w:tcPr>
            <w:tcW w:w="6152" w:type="dxa"/>
            <w:tcBorders>
              <w:top w:val="single" w:color="auto" w:sz="4" w:space="0"/>
              <w:left w:val="single" w:color="auto" w:sz="4" w:space="0"/>
              <w:bottom w:val="single" w:color="auto" w:sz="4" w:space="0"/>
              <w:right w:val="single" w:color="auto" w:sz="12" w:space="0"/>
            </w:tcBorders>
            <w:vAlign w:val="center"/>
          </w:tcPr>
          <w:p w14:paraId="1731411B">
            <w:pPr>
              <w:keepNext w:val="0"/>
              <w:keepLines w:val="0"/>
              <w:pageBreakBefore w:val="0"/>
              <w:kinsoku/>
              <w:wordWrap/>
              <w:overflowPunct/>
              <w:bidi w:val="0"/>
              <w:adjustRightInd w:val="0"/>
              <w:snapToGrid w:val="0"/>
              <w:spacing w:after="0" w:line="440" w:lineRule="exact"/>
              <w:ind w:firstLine="480" w:firstLineChars="200"/>
              <w:textAlignment w:val="auto"/>
              <w:rPr>
                <w:rFonts w:ascii="宋体" w:hAnsi="宋体" w:cs="宋体"/>
                <w:bCs/>
                <w:color w:val="auto"/>
                <w:kern w:val="2"/>
                <w:sz w:val="24"/>
                <w:szCs w:val="24"/>
                <w:highlight w:val="none"/>
              </w:rPr>
            </w:pPr>
            <w:r>
              <w:rPr>
                <w:rFonts w:hint="eastAsia" w:ascii="宋体" w:hAnsi="宋体" w:cs="宋体"/>
                <w:color w:val="auto"/>
                <w:kern w:val="2"/>
                <w:sz w:val="24"/>
                <w:szCs w:val="24"/>
                <w:highlight w:val="none"/>
              </w:rPr>
              <w:t>开启时间：</w:t>
            </w:r>
            <w:r>
              <w:rPr>
                <w:rFonts w:hint="eastAsia" w:ascii="宋体" w:hAnsi="宋体"/>
                <w:color w:val="auto"/>
                <w:kern w:val="2"/>
                <w:sz w:val="24"/>
                <w:szCs w:val="24"/>
                <w:highlight w:val="none"/>
              </w:rPr>
              <w:t>同递交响应文件截止时间</w:t>
            </w:r>
          </w:p>
          <w:p w14:paraId="7674B006">
            <w:pPr>
              <w:keepNext w:val="0"/>
              <w:keepLines w:val="0"/>
              <w:pageBreakBefore w:val="0"/>
              <w:kinsoku/>
              <w:wordWrap/>
              <w:overflowPunct/>
              <w:bidi w:val="0"/>
              <w:adjustRightInd w:val="0"/>
              <w:snapToGrid w:val="0"/>
              <w:spacing w:after="0" w:line="440" w:lineRule="exact"/>
              <w:ind w:firstLine="480" w:firstLineChars="200"/>
              <w:textAlignment w:val="auto"/>
              <w:rPr>
                <w:rFonts w:ascii="宋体" w:hAnsi="宋体" w:cs="宋体"/>
                <w:bCs/>
                <w:color w:val="auto"/>
                <w:kern w:val="2"/>
                <w:sz w:val="24"/>
                <w:szCs w:val="24"/>
                <w:highlight w:val="none"/>
              </w:rPr>
            </w:pPr>
            <w:r>
              <w:rPr>
                <w:rFonts w:hint="eastAsia" w:ascii="宋体" w:hAnsi="宋体"/>
                <w:color w:val="auto"/>
                <w:kern w:val="2"/>
                <w:sz w:val="24"/>
                <w:szCs w:val="24"/>
                <w:highlight w:val="none"/>
              </w:rPr>
              <w:t>解密时间：电子交易平台发出解密提示后30分钟内</w:t>
            </w:r>
          </w:p>
        </w:tc>
      </w:tr>
      <w:tr w14:paraId="3F18091A">
        <w:tblPrEx>
          <w:tblCellMar>
            <w:top w:w="0" w:type="dxa"/>
            <w:left w:w="0" w:type="dxa"/>
            <w:bottom w:w="0" w:type="dxa"/>
            <w:right w:w="0" w:type="dxa"/>
          </w:tblCellMar>
        </w:tblPrEx>
        <w:trPr>
          <w:trHeight w:val="77" w:hRule="atLeast"/>
          <w:jc w:val="center"/>
        </w:trPr>
        <w:tc>
          <w:tcPr>
            <w:tcW w:w="752" w:type="dxa"/>
            <w:tcBorders>
              <w:top w:val="single" w:color="auto" w:sz="4" w:space="0"/>
              <w:left w:val="single" w:color="auto" w:sz="12" w:space="0"/>
              <w:bottom w:val="single" w:color="auto" w:sz="4" w:space="0"/>
              <w:right w:val="single" w:color="auto" w:sz="4" w:space="0"/>
            </w:tcBorders>
            <w:vAlign w:val="center"/>
          </w:tcPr>
          <w:p w14:paraId="767E5A69">
            <w:pPr>
              <w:keepNext w:val="0"/>
              <w:keepLines w:val="0"/>
              <w:pageBreakBefore w:val="0"/>
              <w:kinsoku/>
              <w:wordWrap/>
              <w:overflowPunct/>
              <w:autoSpaceDE w:val="0"/>
              <w:autoSpaceDN w:val="0"/>
              <w:bidi w:val="0"/>
              <w:adjustRightInd w:val="0"/>
              <w:spacing w:after="0" w:line="440" w:lineRule="exact"/>
              <w:ind w:left="22" w:leftChars="10" w:right="22" w:rightChars="10"/>
              <w:textAlignment w:val="auto"/>
              <w:rPr>
                <w:rFonts w:ascii="宋体" w:hAnsi="宋体"/>
                <w:color w:val="auto"/>
                <w:kern w:val="2"/>
                <w:sz w:val="24"/>
                <w:szCs w:val="24"/>
                <w:highlight w:val="none"/>
              </w:rPr>
            </w:pPr>
            <w:r>
              <w:rPr>
                <w:rFonts w:hint="eastAsia" w:ascii="宋体" w:hAnsi="宋体"/>
                <w:color w:val="auto"/>
                <w:kern w:val="2"/>
                <w:sz w:val="24"/>
                <w:szCs w:val="24"/>
                <w:highlight w:val="none"/>
              </w:rPr>
              <w:t>26.1</w:t>
            </w:r>
          </w:p>
        </w:tc>
        <w:tc>
          <w:tcPr>
            <w:tcW w:w="2068" w:type="dxa"/>
            <w:tcBorders>
              <w:top w:val="single" w:color="auto" w:sz="4" w:space="0"/>
              <w:left w:val="single" w:color="auto" w:sz="12" w:space="0"/>
              <w:bottom w:val="single" w:color="auto" w:sz="4" w:space="0"/>
              <w:right w:val="single" w:color="auto" w:sz="4" w:space="0"/>
            </w:tcBorders>
            <w:vAlign w:val="center"/>
          </w:tcPr>
          <w:p w14:paraId="685F75B0">
            <w:pPr>
              <w:keepNext w:val="0"/>
              <w:keepLines w:val="0"/>
              <w:pageBreakBefore w:val="0"/>
              <w:kinsoku/>
              <w:wordWrap/>
              <w:overflowPunct/>
              <w:bidi w:val="0"/>
              <w:adjustRightInd w:val="0"/>
              <w:snapToGrid w:val="0"/>
              <w:spacing w:after="0" w:line="440" w:lineRule="exact"/>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评审小组人数</w:t>
            </w:r>
          </w:p>
        </w:tc>
        <w:tc>
          <w:tcPr>
            <w:tcW w:w="6160" w:type="dxa"/>
            <w:gridSpan w:val="2"/>
            <w:tcBorders>
              <w:top w:val="single" w:color="auto" w:sz="4" w:space="0"/>
              <w:left w:val="single" w:color="auto" w:sz="4" w:space="0"/>
              <w:bottom w:val="single" w:color="auto" w:sz="4" w:space="0"/>
              <w:right w:val="single" w:color="auto" w:sz="12" w:space="0"/>
            </w:tcBorders>
            <w:vAlign w:val="center"/>
          </w:tcPr>
          <w:p w14:paraId="05984EEA">
            <w:pPr>
              <w:keepNext w:val="0"/>
              <w:keepLines w:val="0"/>
              <w:pageBreakBefore w:val="0"/>
              <w:kinsoku/>
              <w:wordWrap/>
              <w:overflowPunct/>
              <w:bidi w:val="0"/>
              <w:adjustRightInd w:val="0"/>
              <w:snapToGrid w:val="0"/>
              <w:spacing w:after="0" w:line="440" w:lineRule="exact"/>
              <w:ind w:firstLine="480" w:firstLineChars="200"/>
              <w:textAlignment w:val="auto"/>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由3人以上单数组成，其中评审专家人数不少于总数的2/3。</w:t>
            </w:r>
          </w:p>
        </w:tc>
      </w:tr>
      <w:tr w14:paraId="59BAE782">
        <w:tblPrEx>
          <w:tblCellMar>
            <w:top w:w="0" w:type="dxa"/>
            <w:left w:w="0" w:type="dxa"/>
            <w:bottom w:w="0" w:type="dxa"/>
            <w:right w:w="0" w:type="dxa"/>
          </w:tblCellMar>
        </w:tblPrEx>
        <w:trPr>
          <w:gridAfter w:val="1"/>
          <w:wAfter w:w="8" w:type="dxa"/>
          <w:trHeight w:val="77" w:hRule="atLeast"/>
          <w:jc w:val="center"/>
        </w:trPr>
        <w:tc>
          <w:tcPr>
            <w:tcW w:w="752" w:type="dxa"/>
            <w:tcBorders>
              <w:top w:val="single" w:color="auto" w:sz="4" w:space="0"/>
              <w:left w:val="single" w:color="auto" w:sz="12" w:space="0"/>
              <w:bottom w:val="single" w:color="auto" w:sz="4" w:space="0"/>
              <w:right w:val="single" w:color="auto" w:sz="4" w:space="0"/>
            </w:tcBorders>
            <w:vAlign w:val="center"/>
          </w:tcPr>
          <w:p w14:paraId="1821F6BA">
            <w:pPr>
              <w:keepNext w:val="0"/>
              <w:keepLines w:val="0"/>
              <w:pageBreakBefore w:val="0"/>
              <w:kinsoku/>
              <w:wordWrap/>
              <w:overflowPunct/>
              <w:autoSpaceDE w:val="0"/>
              <w:autoSpaceDN w:val="0"/>
              <w:bidi w:val="0"/>
              <w:adjustRightInd w:val="0"/>
              <w:snapToGrid w:val="0"/>
              <w:spacing w:after="0" w:line="440" w:lineRule="exact"/>
              <w:ind w:left="22" w:leftChars="10" w:right="22" w:rightChars="10"/>
              <w:textAlignment w:val="auto"/>
              <w:rPr>
                <w:rFonts w:ascii="宋体" w:hAnsi="宋体"/>
                <w:color w:val="auto"/>
                <w:kern w:val="2"/>
                <w:sz w:val="24"/>
                <w:szCs w:val="24"/>
                <w:highlight w:val="none"/>
              </w:rPr>
            </w:pPr>
            <w:r>
              <w:rPr>
                <w:rFonts w:hint="eastAsia" w:ascii="宋体" w:hAnsi="宋体"/>
                <w:color w:val="auto"/>
                <w:kern w:val="2"/>
                <w:sz w:val="24"/>
                <w:szCs w:val="24"/>
                <w:highlight w:val="none"/>
              </w:rPr>
              <w:t>29.2</w:t>
            </w:r>
          </w:p>
        </w:tc>
        <w:tc>
          <w:tcPr>
            <w:tcW w:w="2068" w:type="dxa"/>
            <w:tcBorders>
              <w:top w:val="single" w:color="auto" w:sz="4" w:space="0"/>
              <w:left w:val="single" w:color="auto" w:sz="12" w:space="0"/>
              <w:bottom w:val="single" w:color="auto" w:sz="4" w:space="0"/>
              <w:right w:val="single" w:color="auto" w:sz="4" w:space="0"/>
            </w:tcBorders>
            <w:vAlign w:val="center"/>
          </w:tcPr>
          <w:p w14:paraId="6A02ED99">
            <w:pPr>
              <w:keepNext w:val="0"/>
              <w:keepLines w:val="0"/>
              <w:pageBreakBefore w:val="0"/>
              <w:widowControl w:val="0"/>
              <w:kinsoku/>
              <w:wordWrap/>
              <w:overflowPunct/>
              <w:autoSpaceDE w:val="0"/>
              <w:autoSpaceDN w:val="0"/>
              <w:bidi w:val="0"/>
              <w:adjustRightInd w:val="0"/>
              <w:snapToGrid w:val="0"/>
              <w:spacing w:after="0" w:line="440" w:lineRule="exact"/>
              <w:ind w:left="22" w:leftChars="10" w:right="22" w:rightChars="10"/>
              <w:jc w:val="both"/>
              <w:textAlignment w:val="auto"/>
              <w:rPr>
                <w:rFonts w:ascii="宋体" w:hAnsi="宋体"/>
                <w:color w:val="auto"/>
                <w:kern w:val="2"/>
                <w:sz w:val="24"/>
                <w:szCs w:val="24"/>
                <w:highlight w:val="none"/>
                <w:lang w:val="zh-CN"/>
              </w:rPr>
            </w:pPr>
            <w:r>
              <w:rPr>
                <w:rFonts w:hint="eastAsia" w:ascii="宋体" w:hAnsi="宋体"/>
                <w:color w:val="auto"/>
                <w:kern w:val="2"/>
                <w:sz w:val="24"/>
                <w:szCs w:val="24"/>
                <w:highlight w:val="none"/>
                <w:lang w:val="zh-CN"/>
              </w:rPr>
              <w:t>磋商顺序</w:t>
            </w:r>
          </w:p>
        </w:tc>
        <w:tc>
          <w:tcPr>
            <w:tcW w:w="6152" w:type="dxa"/>
            <w:tcBorders>
              <w:top w:val="single" w:color="auto" w:sz="4" w:space="0"/>
              <w:left w:val="single" w:color="auto" w:sz="4" w:space="0"/>
              <w:bottom w:val="single" w:color="auto" w:sz="4" w:space="0"/>
              <w:right w:val="single" w:color="auto" w:sz="12" w:space="0"/>
            </w:tcBorders>
            <w:vAlign w:val="center"/>
          </w:tcPr>
          <w:p w14:paraId="0166A454">
            <w:pPr>
              <w:keepNext w:val="0"/>
              <w:keepLines w:val="0"/>
              <w:pageBreakBefore w:val="0"/>
              <w:kinsoku/>
              <w:wordWrap/>
              <w:overflowPunct/>
              <w:bidi w:val="0"/>
              <w:adjustRightInd w:val="0"/>
              <w:snapToGrid w:val="0"/>
              <w:spacing w:after="0" w:line="440" w:lineRule="exact"/>
              <w:textAlignment w:val="auto"/>
              <w:rPr>
                <w:rFonts w:ascii="宋体" w:hAnsi="宋体"/>
                <w:color w:val="auto"/>
                <w:kern w:val="2"/>
                <w:sz w:val="24"/>
                <w:szCs w:val="24"/>
                <w:highlight w:val="none"/>
                <w:lang w:val="zh-CN"/>
              </w:rPr>
            </w:pPr>
            <w:sdt>
              <w:sdtPr>
                <w:rPr>
                  <w:rFonts w:hint="eastAsia" w:ascii="宋体" w:hAnsi="宋体"/>
                  <w:color w:val="auto"/>
                  <w:kern w:val="2"/>
                  <w:sz w:val="24"/>
                  <w:szCs w:val="24"/>
                  <w:highlight w:val="none"/>
                  <w:lang w:val="zh-CN"/>
                </w:rPr>
                <w:id w:val="-469129677"/>
                <w14:checkbox>
                  <w14:checked w14:val="1"/>
                  <w14:checkedState w14:val="0052" w14:font="Wingdings 2"/>
                  <w14:uncheckedState w14:val="00A3" w14:font="Wingdings 2"/>
                </w14:checkbox>
              </w:sdtPr>
              <w:sdtEndPr>
                <w:rPr>
                  <w:rFonts w:hint="eastAsia" w:ascii="宋体" w:hAnsi="宋体"/>
                  <w:color w:val="auto"/>
                  <w:kern w:val="2"/>
                  <w:sz w:val="24"/>
                  <w:szCs w:val="24"/>
                  <w:highlight w:val="none"/>
                  <w:lang w:val="zh-CN"/>
                </w:rPr>
              </w:sdtEndPr>
              <w:sdtContent>
                <w:r>
                  <w:rPr>
                    <w:rFonts w:ascii="Wingdings 2" w:hAnsi="Wingdings 2" w:eastAsia="宋体" w:cs="Times New Roman"/>
                    <w:color w:val="auto"/>
                    <w:kern w:val="2"/>
                    <w:sz w:val="24"/>
                    <w:szCs w:val="24"/>
                    <w:highlight w:val="none"/>
                    <w:lang w:val="zh-CN" w:eastAsia="zh-CN" w:bidi="ar-SA"/>
                  </w:rPr>
                  <w:t>R</w:t>
                </w:r>
              </w:sdtContent>
            </w:sdt>
            <w:r>
              <w:rPr>
                <w:rFonts w:hint="eastAsia" w:ascii="宋体" w:hAnsi="宋体"/>
                <w:color w:val="auto"/>
                <w:kern w:val="2"/>
                <w:sz w:val="24"/>
                <w:szCs w:val="24"/>
                <w:highlight w:val="none"/>
                <w:lang w:val="zh-CN"/>
              </w:rPr>
              <w:t>随机</w:t>
            </w:r>
          </w:p>
        </w:tc>
      </w:tr>
      <w:tr w14:paraId="650FCC07">
        <w:tblPrEx>
          <w:tblCellMar>
            <w:top w:w="0" w:type="dxa"/>
            <w:left w:w="0" w:type="dxa"/>
            <w:bottom w:w="0" w:type="dxa"/>
            <w:right w:w="0" w:type="dxa"/>
          </w:tblCellMar>
        </w:tblPrEx>
        <w:trPr>
          <w:gridAfter w:val="1"/>
          <w:wAfter w:w="8" w:type="dxa"/>
          <w:trHeight w:val="77" w:hRule="atLeast"/>
          <w:jc w:val="center"/>
        </w:trPr>
        <w:tc>
          <w:tcPr>
            <w:tcW w:w="752" w:type="dxa"/>
            <w:tcBorders>
              <w:top w:val="single" w:color="auto" w:sz="4" w:space="0"/>
              <w:left w:val="single" w:color="auto" w:sz="12" w:space="0"/>
              <w:bottom w:val="single" w:color="auto" w:sz="4" w:space="0"/>
              <w:right w:val="single" w:color="auto" w:sz="4" w:space="0"/>
            </w:tcBorders>
            <w:vAlign w:val="center"/>
          </w:tcPr>
          <w:p w14:paraId="72503A85">
            <w:pPr>
              <w:keepNext w:val="0"/>
              <w:keepLines w:val="0"/>
              <w:pageBreakBefore w:val="0"/>
              <w:kinsoku/>
              <w:wordWrap/>
              <w:overflowPunct/>
              <w:autoSpaceDE w:val="0"/>
              <w:autoSpaceDN w:val="0"/>
              <w:bidi w:val="0"/>
              <w:adjustRightInd w:val="0"/>
              <w:snapToGrid w:val="0"/>
              <w:spacing w:after="0" w:line="440" w:lineRule="exact"/>
              <w:ind w:left="22" w:leftChars="10" w:right="22" w:rightChars="10"/>
              <w:textAlignment w:val="auto"/>
              <w:rPr>
                <w:rFonts w:ascii="宋体" w:hAnsi="宋体"/>
                <w:color w:val="auto"/>
                <w:kern w:val="2"/>
                <w:sz w:val="24"/>
                <w:szCs w:val="24"/>
                <w:highlight w:val="none"/>
              </w:rPr>
            </w:pPr>
            <w:r>
              <w:rPr>
                <w:rFonts w:hint="eastAsia" w:ascii="宋体" w:hAnsi="宋体"/>
                <w:color w:val="auto"/>
                <w:kern w:val="2"/>
                <w:sz w:val="24"/>
                <w:szCs w:val="24"/>
                <w:highlight w:val="none"/>
              </w:rPr>
              <w:t>3</w:t>
            </w:r>
            <w:r>
              <w:rPr>
                <w:rFonts w:ascii="宋体" w:hAnsi="宋体"/>
                <w:color w:val="auto"/>
                <w:kern w:val="2"/>
                <w:sz w:val="24"/>
                <w:szCs w:val="24"/>
                <w:highlight w:val="none"/>
              </w:rPr>
              <w:t>6</w:t>
            </w:r>
          </w:p>
        </w:tc>
        <w:tc>
          <w:tcPr>
            <w:tcW w:w="2068" w:type="dxa"/>
            <w:tcBorders>
              <w:top w:val="single" w:color="auto" w:sz="4" w:space="0"/>
              <w:left w:val="single" w:color="auto" w:sz="12" w:space="0"/>
              <w:bottom w:val="single" w:color="auto" w:sz="4" w:space="0"/>
              <w:right w:val="single" w:color="auto" w:sz="4" w:space="0"/>
            </w:tcBorders>
            <w:vAlign w:val="center"/>
          </w:tcPr>
          <w:p w14:paraId="0AE1F2E3">
            <w:pPr>
              <w:keepNext w:val="0"/>
              <w:keepLines w:val="0"/>
              <w:pageBreakBefore w:val="0"/>
              <w:widowControl w:val="0"/>
              <w:kinsoku/>
              <w:wordWrap/>
              <w:overflowPunct/>
              <w:autoSpaceDE w:val="0"/>
              <w:autoSpaceDN w:val="0"/>
              <w:bidi w:val="0"/>
              <w:adjustRightInd w:val="0"/>
              <w:snapToGrid w:val="0"/>
              <w:spacing w:after="0" w:line="440" w:lineRule="exact"/>
              <w:ind w:left="22" w:leftChars="10" w:right="22" w:rightChars="10"/>
              <w:jc w:val="both"/>
              <w:textAlignment w:val="auto"/>
              <w:rPr>
                <w:rFonts w:ascii="宋体" w:hAnsi="宋体"/>
                <w:color w:val="auto"/>
                <w:kern w:val="2"/>
                <w:sz w:val="24"/>
                <w:szCs w:val="24"/>
                <w:highlight w:val="none"/>
                <w:lang w:val="zh-CN"/>
              </w:rPr>
            </w:pPr>
            <w:r>
              <w:rPr>
                <w:rFonts w:hint="eastAsia" w:ascii="宋体" w:hAnsi="宋体"/>
                <w:color w:val="auto"/>
                <w:kern w:val="2"/>
                <w:sz w:val="24"/>
                <w:szCs w:val="24"/>
                <w:highlight w:val="none"/>
                <w:lang w:val="zh-CN"/>
              </w:rPr>
              <w:t>履约保证金</w:t>
            </w:r>
          </w:p>
        </w:tc>
        <w:tc>
          <w:tcPr>
            <w:tcW w:w="6152" w:type="dxa"/>
            <w:tcBorders>
              <w:top w:val="single" w:color="auto" w:sz="4" w:space="0"/>
              <w:left w:val="single" w:color="auto" w:sz="4" w:space="0"/>
              <w:bottom w:val="single" w:color="auto" w:sz="4" w:space="0"/>
              <w:right w:val="single" w:color="auto" w:sz="12" w:space="0"/>
            </w:tcBorders>
            <w:vAlign w:val="center"/>
          </w:tcPr>
          <w:p w14:paraId="164B6288">
            <w:pPr>
              <w:keepNext w:val="0"/>
              <w:keepLines w:val="0"/>
              <w:pageBreakBefore w:val="0"/>
              <w:kinsoku/>
              <w:wordWrap/>
              <w:overflowPunct/>
              <w:bidi w:val="0"/>
              <w:adjustRightInd w:val="0"/>
              <w:snapToGrid w:val="0"/>
              <w:spacing w:after="0" w:line="440" w:lineRule="exact"/>
              <w:textAlignment w:val="auto"/>
              <w:rPr>
                <w:rFonts w:ascii="宋体" w:hAnsi="宋体" w:cs="Calibri"/>
                <w:color w:val="auto"/>
                <w:kern w:val="2"/>
                <w:sz w:val="24"/>
                <w:szCs w:val="24"/>
                <w:highlight w:val="none"/>
                <w:lang w:val="zh-CN"/>
              </w:rPr>
            </w:pPr>
            <w:sdt>
              <w:sdtPr>
                <w:rPr>
                  <w:rFonts w:hint="eastAsia" w:ascii="宋体" w:hAnsi="宋体" w:cs="宋体"/>
                  <w:bCs/>
                  <w:color w:val="auto"/>
                  <w:kern w:val="2"/>
                  <w:sz w:val="24"/>
                  <w:szCs w:val="24"/>
                  <w:highlight w:val="none"/>
                </w:rPr>
                <w:id w:val="-1450235229"/>
                <w14:checkbox>
                  <w14:checked w14:val="1"/>
                  <w14:checkedState w14:val="0052" w14:font="Wingdings 2"/>
                  <w14:uncheckedState w14:val="00A3" w14:font="Wingdings 2"/>
                </w14:checkbox>
              </w:sdtPr>
              <w:sdtEndPr>
                <w:rPr>
                  <w:rFonts w:hint="eastAsia" w:ascii="宋体" w:hAnsi="宋体" w:cs="宋体"/>
                  <w:bCs/>
                  <w:color w:val="auto"/>
                  <w:kern w:val="2"/>
                  <w:sz w:val="24"/>
                  <w:szCs w:val="24"/>
                  <w:highlight w:val="none"/>
                </w:rPr>
              </w:sdtEndPr>
              <w:sdtContent>
                <w:r>
                  <w:rPr>
                    <w:rFonts w:ascii="Wingdings 2" w:hAnsi="Wingdings 2" w:eastAsia="宋体" w:cs="宋体"/>
                    <w:bCs/>
                    <w:color w:val="auto"/>
                    <w:kern w:val="2"/>
                    <w:sz w:val="24"/>
                    <w:szCs w:val="24"/>
                    <w:highlight w:val="none"/>
                    <w:lang w:val="en-US" w:eastAsia="zh-CN" w:bidi="ar-SA"/>
                  </w:rPr>
                  <w:t>R</w:t>
                </w:r>
              </w:sdtContent>
            </w:sdt>
            <w:r>
              <w:rPr>
                <w:rFonts w:hint="eastAsia" w:ascii="宋体" w:hAnsi="宋体" w:cs="Calibri"/>
                <w:color w:val="auto"/>
                <w:kern w:val="2"/>
                <w:sz w:val="24"/>
                <w:szCs w:val="24"/>
                <w:highlight w:val="none"/>
                <w:lang w:val="zh-CN"/>
              </w:rPr>
              <w:t>无</w:t>
            </w:r>
          </w:p>
        </w:tc>
      </w:tr>
      <w:tr w14:paraId="4264B867">
        <w:tblPrEx>
          <w:tblCellMar>
            <w:top w:w="0" w:type="dxa"/>
            <w:left w:w="0" w:type="dxa"/>
            <w:bottom w:w="0" w:type="dxa"/>
            <w:right w:w="0" w:type="dxa"/>
          </w:tblCellMar>
        </w:tblPrEx>
        <w:trPr>
          <w:gridAfter w:val="1"/>
          <w:wAfter w:w="8" w:type="dxa"/>
          <w:trHeight w:val="77" w:hRule="atLeast"/>
          <w:jc w:val="center"/>
        </w:trPr>
        <w:tc>
          <w:tcPr>
            <w:tcW w:w="752" w:type="dxa"/>
            <w:tcBorders>
              <w:top w:val="single" w:color="auto" w:sz="4" w:space="0"/>
              <w:left w:val="single" w:color="auto" w:sz="12" w:space="0"/>
              <w:bottom w:val="single" w:color="auto" w:sz="4" w:space="0"/>
              <w:right w:val="single" w:color="auto" w:sz="4" w:space="0"/>
            </w:tcBorders>
            <w:vAlign w:val="center"/>
          </w:tcPr>
          <w:p w14:paraId="2A131378">
            <w:pPr>
              <w:keepNext w:val="0"/>
              <w:keepLines w:val="0"/>
              <w:pageBreakBefore w:val="0"/>
              <w:kinsoku/>
              <w:wordWrap/>
              <w:overflowPunct/>
              <w:autoSpaceDE w:val="0"/>
              <w:autoSpaceDN w:val="0"/>
              <w:bidi w:val="0"/>
              <w:adjustRightInd w:val="0"/>
              <w:snapToGrid w:val="0"/>
              <w:spacing w:after="0" w:line="440" w:lineRule="exact"/>
              <w:ind w:left="22" w:leftChars="10" w:right="22" w:rightChars="10"/>
              <w:textAlignment w:val="auto"/>
              <w:rPr>
                <w:rFonts w:ascii="宋体" w:hAnsi="宋体"/>
                <w:color w:val="auto"/>
                <w:kern w:val="2"/>
                <w:sz w:val="24"/>
                <w:szCs w:val="24"/>
                <w:highlight w:val="none"/>
              </w:rPr>
            </w:pPr>
            <w:r>
              <w:rPr>
                <w:rFonts w:hint="eastAsia" w:ascii="宋体" w:hAnsi="宋体"/>
                <w:color w:val="auto"/>
                <w:kern w:val="2"/>
                <w:sz w:val="24"/>
                <w:szCs w:val="24"/>
                <w:highlight w:val="none"/>
              </w:rPr>
              <w:t>4</w:t>
            </w:r>
            <w:r>
              <w:rPr>
                <w:rFonts w:ascii="宋体" w:hAnsi="宋体"/>
                <w:color w:val="auto"/>
                <w:kern w:val="2"/>
                <w:sz w:val="24"/>
                <w:szCs w:val="24"/>
                <w:highlight w:val="none"/>
              </w:rPr>
              <w:t>3</w:t>
            </w:r>
          </w:p>
        </w:tc>
        <w:tc>
          <w:tcPr>
            <w:tcW w:w="2068" w:type="dxa"/>
            <w:tcBorders>
              <w:top w:val="single" w:color="auto" w:sz="4" w:space="0"/>
              <w:left w:val="single" w:color="auto" w:sz="12" w:space="0"/>
              <w:bottom w:val="single" w:color="auto" w:sz="4" w:space="0"/>
              <w:right w:val="single" w:color="auto" w:sz="4" w:space="0"/>
            </w:tcBorders>
            <w:vAlign w:val="center"/>
          </w:tcPr>
          <w:p w14:paraId="38DE9DCA">
            <w:pPr>
              <w:keepNext w:val="0"/>
              <w:keepLines w:val="0"/>
              <w:pageBreakBefore w:val="0"/>
              <w:widowControl w:val="0"/>
              <w:kinsoku/>
              <w:wordWrap/>
              <w:overflowPunct/>
              <w:autoSpaceDE w:val="0"/>
              <w:autoSpaceDN w:val="0"/>
              <w:bidi w:val="0"/>
              <w:adjustRightInd w:val="0"/>
              <w:snapToGrid w:val="0"/>
              <w:spacing w:after="0" w:line="440" w:lineRule="exact"/>
              <w:ind w:left="22" w:leftChars="10" w:right="22" w:rightChars="10"/>
              <w:jc w:val="both"/>
              <w:textAlignment w:val="auto"/>
              <w:rPr>
                <w:rFonts w:ascii="宋体" w:hAnsi="宋体"/>
                <w:color w:val="auto"/>
                <w:kern w:val="2"/>
                <w:sz w:val="24"/>
                <w:szCs w:val="24"/>
                <w:highlight w:val="none"/>
                <w:lang w:val="zh-CN"/>
              </w:rPr>
            </w:pPr>
            <w:r>
              <w:rPr>
                <w:rFonts w:hint="eastAsia" w:ascii="宋体" w:hAnsi="宋体"/>
                <w:color w:val="auto"/>
                <w:kern w:val="2"/>
                <w:sz w:val="24"/>
                <w:szCs w:val="24"/>
                <w:highlight w:val="none"/>
                <w:lang w:val="zh-CN"/>
              </w:rPr>
              <w:t>付款方式</w:t>
            </w:r>
          </w:p>
        </w:tc>
        <w:tc>
          <w:tcPr>
            <w:tcW w:w="6152" w:type="dxa"/>
            <w:tcBorders>
              <w:top w:val="single" w:color="auto" w:sz="4" w:space="0"/>
              <w:left w:val="single" w:color="auto" w:sz="4" w:space="0"/>
              <w:bottom w:val="single" w:color="auto" w:sz="4" w:space="0"/>
              <w:right w:val="single" w:color="auto" w:sz="12" w:space="0"/>
            </w:tcBorders>
            <w:vAlign w:val="center"/>
          </w:tcPr>
          <w:p w14:paraId="344E7ED6">
            <w:pPr>
              <w:keepNext w:val="0"/>
              <w:keepLines w:val="0"/>
              <w:pageBreakBefore w:val="0"/>
              <w:kinsoku/>
              <w:wordWrap/>
              <w:overflowPunct/>
              <w:bidi w:val="0"/>
              <w:spacing w:after="0" w:line="440" w:lineRule="exact"/>
              <w:ind w:firstLine="360" w:firstLineChars="150"/>
              <w:textAlignment w:val="auto"/>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详见第三章采购需求。</w:t>
            </w:r>
          </w:p>
        </w:tc>
      </w:tr>
      <w:tr w14:paraId="720A8C1D">
        <w:tblPrEx>
          <w:tblCellMar>
            <w:top w:w="0" w:type="dxa"/>
            <w:left w:w="0" w:type="dxa"/>
            <w:bottom w:w="0" w:type="dxa"/>
            <w:right w:w="0" w:type="dxa"/>
          </w:tblCellMar>
        </w:tblPrEx>
        <w:trPr>
          <w:gridAfter w:val="1"/>
          <w:wAfter w:w="8" w:type="dxa"/>
          <w:trHeight w:val="72" w:hRule="atLeast"/>
          <w:jc w:val="center"/>
        </w:trPr>
        <w:tc>
          <w:tcPr>
            <w:tcW w:w="2820" w:type="dxa"/>
            <w:gridSpan w:val="2"/>
            <w:tcBorders>
              <w:top w:val="single" w:color="auto" w:sz="6" w:space="0"/>
              <w:left w:val="single" w:color="auto" w:sz="12" w:space="0"/>
              <w:bottom w:val="single" w:color="auto" w:sz="12" w:space="0"/>
              <w:right w:val="single" w:color="auto" w:sz="6" w:space="0"/>
            </w:tcBorders>
            <w:vAlign w:val="center"/>
          </w:tcPr>
          <w:p w14:paraId="2D031289">
            <w:pPr>
              <w:keepNext w:val="0"/>
              <w:keepLines w:val="0"/>
              <w:pageBreakBefore w:val="0"/>
              <w:widowControl w:val="0"/>
              <w:kinsoku/>
              <w:wordWrap/>
              <w:overflowPunct/>
              <w:autoSpaceDE w:val="0"/>
              <w:autoSpaceDN w:val="0"/>
              <w:bidi w:val="0"/>
              <w:adjustRightInd w:val="0"/>
              <w:snapToGrid w:val="0"/>
              <w:spacing w:after="0" w:line="440" w:lineRule="exact"/>
              <w:ind w:left="22" w:leftChars="10" w:right="22" w:rightChars="10"/>
              <w:jc w:val="center"/>
              <w:textAlignment w:val="auto"/>
              <w:rPr>
                <w:rFonts w:ascii="宋体" w:hAnsi="宋体" w:cs="Arial"/>
                <w:color w:val="auto"/>
                <w:kern w:val="2"/>
                <w:sz w:val="24"/>
                <w:szCs w:val="24"/>
                <w:highlight w:val="none"/>
              </w:rPr>
            </w:pPr>
            <w:r>
              <w:rPr>
                <w:rFonts w:hint="eastAsia" w:ascii="宋体" w:hAnsi="宋体" w:cs="Arial"/>
                <w:color w:val="auto"/>
                <w:kern w:val="2"/>
                <w:sz w:val="24"/>
                <w:szCs w:val="24"/>
                <w:highlight w:val="none"/>
              </w:rPr>
              <w:t>其他</w:t>
            </w:r>
          </w:p>
        </w:tc>
        <w:tc>
          <w:tcPr>
            <w:tcW w:w="6152" w:type="dxa"/>
            <w:tcBorders>
              <w:top w:val="single" w:color="auto" w:sz="6" w:space="0"/>
              <w:left w:val="single" w:color="auto" w:sz="6" w:space="0"/>
              <w:bottom w:val="single" w:color="auto" w:sz="12" w:space="0"/>
              <w:right w:val="single" w:color="auto" w:sz="12" w:space="0"/>
            </w:tcBorders>
            <w:vAlign w:val="center"/>
          </w:tcPr>
          <w:p w14:paraId="69EADC19">
            <w:pPr>
              <w:keepNext w:val="0"/>
              <w:keepLines w:val="0"/>
              <w:pageBreakBefore w:val="0"/>
              <w:kinsoku/>
              <w:wordWrap/>
              <w:overflowPunct/>
              <w:topLinePunct/>
              <w:bidi w:val="0"/>
              <w:snapToGrid w:val="0"/>
              <w:spacing w:after="0" w:line="440" w:lineRule="exact"/>
              <w:ind w:firstLine="480" w:firstLineChars="200"/>
              <w:textAlignment w:val="auto"/>
              <w:rPr>
                <w:rFonts w:ascii="宋体" w:hAnsi="宋体" w:cs="宋体"/>
                <w:bCs/>
                <w:color w:val="auto"/>
                <w:kern w:val="2"/>
                <w:sz w:val="24"/>
                <w:szCs w:val="24"/>
                <w:highlight w:val="none"/>
              </w:rPr>
            </w:pPr>
            <w:r>
              <w:rPr>
                <w:rFonts w:hint="eastAsia" w:ascii="宋体" w:hAnsi="宋体" w:cs="宋体"/>
                <w:bCs/>
                <w:color w:val="auto"/>
                <w:kern w:val="2"/>
                <w:sz w:val="24"/>
                <w:szCs w:val="24"/>
                <w:highlight w:val="none"/>
              </w:rPr>
              <w:t xml:space="preserve">                 </w:t>
            </w:r>
            <w:r>
              <w:rPr>
                <w:rFonts w:ascii="宋体" w:hAnsi="宋体" w:cs="宋体"/>
                <w:bCs/>
                <w:color w:val="auto"/>
                <w:kern w:val="2"/>
                <w:sz w:val="24"/>
                <w:szCs w:val="24"/>
                <w:highlight w:val="none"/>
              </w:rPr>
              <w:t>/</w:t>
            </w:r>
            <w:r>
              <w:rPr>
                <w:rFonts w:hint="eastAsia" w:ascii="宋体" w:hAnsi="宋体" w:cs="宋体"/>
                <w:bCs/>
                <w:color w:val="auto"/>
                <w:kern w:val="2"/>
                <w:sz w:val="24"/>
                <w:szCs w:val="24"/>
                <w:highlight w:val="none"/>
              </w:rPr>
              <w:t xml:space="preserve"> </w:t>
            </w:r>
          </w:p>
        </w:tc>
      </w:tr>
    </w:tbl>
    <w:p w14:paraId="19AE16FE">
      <w:pPr>
        <w:keepNext w:val="0"/>
        <w:keepLines w:val="0"/>
        <w:pageBreakBefore w:val="0"/>
        <w:kinsoku/>
        <w:wordWrap/>
        <w:overflowPunct/>
        <w:bidi w:val="0"/>
        <w:spacing w:after="0" w:line="440" w:lineRule="exact"/>
        <w:ind w:firstLine="361" w:firstLineChars="150"/>
        <w:textAlignment w:val="auto"/>
        <w:rPr>
          <w:rFonts w:ascii="宋体" w:hAnsi="宋体" w:cs="宋体"/>
          <w:b/>
          <w:snapToGrid w:val="0"/>
          <w:color w:val="auto"/>
          <w:sz w:val="24"/>
          <w:szCs w:val="24"/>
          <w:highlight w:val="none"/>
          <w:lang w:val="zh-CN"/>
        </w:rPr>
      </w:pPr>
      <w:r>
        <w:rPr>
          <w:rFonts w:hint="eastAsia" w:ascii="宋体" w:hAnsi="宋体" w:cs="宋体"/>
          <w:b/>
          <w:snapToGrid w:val="0"/>
          <w:color w:val="auto"/>
          <w:sz w:val="24"/>
          <w:szCs w:val="24"/>
          <w:highlight w:val="none"/>
          <w:lang w:val="zh-CN"/>
        </w:rPr>
        <w:t>注意：供应商应随时关注第一章磋商公告中指定网站发布的本采购项目的相关信息（答疑、澄清公告等）。</w:t>
      </w:r>
    </w:p>
    <w:p w14:paraId="46B4DBD3">
      <w:pPr>
        <w:keepNext w:val="0"/>
        <w:keepLines w:val="0"/>
        <w:pageBreakBefore w:val="0"/>
        <w:kinsoku/>
        <w:wordWrap/>
        <w:overflowPunct/>
        <w:bidi w:val="0"/>
        <w:spacing w:after="0" w:line="440" w:lineRule="exact"/>
        <w:textAlignment w:val="auto"/>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补充说明：</w:t>
      </w:r>
    </w:p>
    <w:p w14:paraId="2362076B">
      <w:pPr>
        <w:keepNext w:val="0"/>
        <w:keepLines w:val="0"/>
        <w:pageBreakBefore w:val="0"/>
        <w:kinsoku/>
        <w:wordWrap/>
        <w:overflowPunct/>
        <w:autoSpaceDE w:val="0"/>
        <w:autoSpaceDN w:val="0"/>
        <w:bidi w:val="0"/>
        <w:snapToGrid w:val="0"/>
        <w:spacing w:after="0" w:line="44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除本采购文件另有规定外，采购文件中出现的类似于近三年或前三年、近五年或前五年均指递交响应文件时间以前3年或前5年，以此类推。如：递交响应文件时间为2023年6月5日，则近三年是指2020年6月5日至2023年6月4日。</w:t>
      </w:r>
    </w:p>
    <w:p w14:paraId="02C35E94">
      <w:pPr>
        <w:keepNext w:val="0"/>
        <w:keepLines w:val="0"/>
        <w:pageBreakBefore w:val="0"/>
        <w:kinsoku/>
        <w:wordWrap/>
        <w:overflowPunct/>
        <w:autoSpaceDE w:val="0"/>
        <w:autoSpaceDN w:val="0"/>
        <w:bidi w:val="0"/>
        <w:snapToGrid w:val="0"/>
        <w:spacing w:after="0" w:line="44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2）关于提交经审计的财务报告的年份要求：递交响应文件时间如在当年6月30日以前，则近三年指上上个年度往前推算的三年，如递交响应文件时间为2023年6月5日，则近三年是指2019年度、2020年度、2021年度。</w:t>
      </w:r>
    </w:p>
    <w:p w14:paraId="1C100AEA">
      <w:pPr>
        <w:keepNext w:val="0"/>
        <w:keepLines w:val="0"/>
        <w:pageBreakBefore w:val="0"/>
        <w:kinsoku/>
        <w:wordWrap/>
        <w:overflowPunct/>
        <w:autoSpaceDE w:val="0"/>
        <w:autoSpaceDN w:val="0"/>
        <w:bidi w:val="0"/>
        <w:snapToGrid w:val="0"/>
        <w:spacing w:after="0" w:line="44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递交响应文件时间如在当年6月30日以后，则近三年是指上个年度往前推算的3年，如递交响应文件时间为2023年9月1日，则近三年是指2020年度、2021年度、2022年度。</w:t>
      </w:r>
    </w:p>
    <w:p w14:paraId="2E7F80DD">
      <w:pPr>
        <w:keepNext w:val="0"/>
        <w:keepLines w:val="0"/>
        <w:pageBreakBefore w:val="0"/>
        <w:kinsoku/>
        <w:wordWrap/>
        <w:overflowPunct/>
        <w:autoSpaceDE w:val="0"/>
        <w:autoSpaceDN w:val="0"/>
        <w:bidi w:val="0"/>
        <w:snapToGrid w:val="0"/>
        <w:spacing w:after="0" w:line="44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3）本采购文件所称的“以上”、“以下”、“内”、“以内”，均包括本数；所称的“不足”，不包括本数。</w:t>
      </w:r>
    </w:p>
    <w:p w14:paraId="6C7F5E32">
      <w:pPr>
        <w:keepNext w:val="0"/>
        <w:keepLines w:val="0"/>
        <w:pageBreakBefore w:val="0"/>
        <w:kinsoku/>
        <w:wordWrap/>
        <w:overflowPunct/>
        <w:autoSpaceDE w:val="0"/>
        <w:autoSpaceDN w:val="0"/>
        <w:bidi w:val="0"/>
        <w:snapToGrid w:val="0"/>
        <w:spacing w:after="0" w:line="440" w:lineRule="exact"/>
        <w:ind w:firstLine="480" w:firstLineChars="200"/>
        <w:textAlignment w:val="auto"/>
        <w:rPr>
          <w:rFonts w:ascii="宋体" w:hAnsi="宋体"/>
          <w:color w:val="auto"/>
          <w:sz w:val="21"/>
          <w:szCs w:val="21"/>
          <w:highlight w:val="none"/>
        </w:rPr>
      </w:pPr>
      <w:r>
        <w:rPr>
          <w:rFonts w:hint="eastAsia" w:ascii="宋体" w:hAnsi="宋体"/>
          <w:color w:val="auto"/>
          <w:sz w:val="24"/>
          <w:szCs w:val="24"/>
          <w:highlight w:val="none"/>
        </w:rPr>
        <w:t>4）供应商须知前附表中，“</w:t>
      </w:r>
      <w:r>
        <w:rPr>
          <w:rFonts w:ascii="Times New Roman" w:hAnsi="Times New Roman"/>
          <w:color w:val="auto"/>
          <w:kern w:val="2"/>
          <w:sz w:val="24"/>
          <w:szCs w:val="24"/>
          <w:highlight w:val="none"/>
        </w:rPr>
        <w:fldChar w:fldCharType="begin"/>
      </w:r>
      <w:r>
        <w:rPr>
          <w:rFonts w:hint="eastAsia" w:ascii="宋体" w:hAnsi="宋体" w:cs="宋体"/>
          <w:bCs/>
          <w:color w:val="auto"/>
          <w:sz w:val="24"/>
          <w:szCs w:val="24"/>
          <w:highlight w:val="none"/>
        </w:rPr>
        <w:instrText xml:space="preserve"> eq \o\ac(</w:instrText>
      </w:r>
      <w:r>
        <w:rPr>
          <w:rFonts w:hint="eastAsia" w:ascii="宋体" w:hAnsi="宋体" w:cs="宋体"/>
          <w:bCs/>
          <w:color w:val="auto"/>
          <w:position w:val="-4"/>
          <w:sz w:val="36"/>
          <w:szCs w:val="24"/>
          <w:highlight w:val="none"/>
        </w:rPr>
        <w:instrText xml:space="preserve">□</w:instrText>
      </w:r>
      <w:r>
        <w:rPr>
          <w:rFonts w:hint="eastAsia" w:ascii="宋体" w:hAnsi="宋体" w:cs="宋体"/>
          <w:bCs/>
          <w:color w:val="auto"/>
          <w:position w:val="0"/>
          <w:sz w:val="24"/>
          <w:szCs w:val="24"/>
          <w:highlight w:val="none"/>
        </w:rPr>
        <w:instrText xml:space="preserve">,√)</w:instrText>
      </w:r>
      <w:r>
        <w:rPr>
          <w:rFonts w:ascii="Times New Roman" w:hAnsi="Times New Roman"/>
          <w:color w:val="auto"/>
          <w:kern w:val="2"/>
          <w:sz w:val="24"/>
          <w:szCs w:val="24"/>
          <w:highlight w:val="none"/>
        </w:rPr>
        <w:fldChar w:fldCharType="end"/>
      </w:r>
      <w:r>
        <w:rPr>
          <w:rFonts w:hint="eastAsia" w:ascii="宋体" w:hAnsi="宋体"/>
          <w:color w:val="auto"/>
          <w:sz w:val="24"/>
          <w:szCs w:val="24"/>
          <w:highlight w:val="none"/>
        </w:rPr>
        <w:t>”代表选中，“□”代表未选中。</w:t>
      </w:r>
    </w:p>
    <w:p w14:paraId="6D4DA20B">
      <w:pPr>
        <w:keepNext/>
        <w:keepLines/>
        <w:pageBreakBefore w:val="0"/>
        <w:kinsoku/>
        <w:wordWrap/>
        <w:overflowPunct/>
        <w:topLinePunct w:val="0"/>
        <w:bidi w:val="0"/>
        <w:adjustRightInd w:val="0"/>
        <w:spacing w:after="0" w:line="440" w:lineRule="exact"/>
        <w:textAlignment w:val="baseline"/>
        <w:rPr>
          <w:rFonts w:ascii="宋体" w:hAnsi="宋体"/>
          <w:b/>
          <w:bCs/>
          <w:color w:val="auto"/>
          <w:sz w:val="24"/>
          <w:szCs w:val="24"/>
          <w:highlight w:val="none"/>
        </w:rPr>
      </w:pPr>
      <w:r>
        <w:rPr>
          <w:rFonts w:hint="eastAsia" w:ascii="宋体" w:hAnsi="宋体" w:cs="宋体"/>
          <w:color w:val="auto"/>
          <w:sz w:val="21"/>
          <w:szCs w:val="21"/>
          <w:highlight w:val="none"/>
        </w:rPr>
        <w:br w:type="page"/>
      </w:r>
      <w:bookmarkStart w:id="40" w:name="_Toc5001415"/>
      <w:bookmarkStart w:id="41" w:name="_Toc6518"/>
      <w:bookmarkStart w:id="42" w:name="_Toc9616"/>
      <w:r>
        <w:rPr>
          <w:rFonts w:hint="eastAsia" w:ascii="宋体" w:hAnsi="宋体"/>
          <w:b/>
          <w:bCs/>
          <w:color w:val="auto"/>
          <w:sz w:val="24"/>
          <w:szCs w:val="24"/>
          <w:highlight w:val="none"/>
        </w:rPr>
        <w:t>供应商须知</w:t>
      </w:r>
      <w:bookmarkEnd w:id="40"/>
    </w:p>
    <w:p w14:paraId="564E5FD4">
      <w:pPr>
        <w:pageBreakBefore w:val="0"/>
        <w:widowControl w:val="0"/>
        <w:numPr>
          <w:ilvl w:val="1"/>
          <w:numId w:val="10"/>
        </w:numPr>
        <w:tabs>
          <w:tab w:val="left" w:pos="540"/>
          <w:tab w:val="left" w:pos="840"/>
        </w:tabs>
        <w:kinsoku/>
        <w:wordWrap/>
        <w:overflowPunct/>
        <w:topLinePunct w:val="0"/>
        <w:bidi w:val="0"/>
        <w:adjustRightInd w:val="0"/>
        <w:spacing w:after="0" w:line="440" w:lineRule="exact"/>
        <w:ind w:left="540" w:hanging="540"/>
        <w:jc w:val="both"/>
        <w:outlineLvl w:val="1"/>
        <w:rPr>
          <w:rFonts w:ascii="宋体" w:hAnsi="宋体"/>
          <w:b/>
          <w:color w:val="auto"/>
          <w:sz w:val="24"/>
          <w:szCs w:val="24"/>
          <w:highlight w:val="none"/>
        </w:rPr>
      </w:pPr>
      <w:r>
        <w:rPr>
          <w:rFonts w:hint="eastAsia" w:ascii="宋体" w:hAnsi="宋体" w:cs="宋体"/>
          <w:b/>
          <w:color w:val="auto"/>
          <w:sz w:val="24"/>
          <w:szCs w:val="24"/>
          <w:highlight w:val="none"/>
        </w:rPr>
        <w:t>总　则</w:t>
      </w:r>
    </w:p>
    <w:p w14:paraId="17BF2E25">
      <w:pPr>
        <w:pageBreakBefore w:val="0"/>
        <w:widowControl w:val="0"/>
        <w:numPr>
          <w:ilvl w:val="0"/>
          <w:numId w:val="11"/>
        </w:numPr>
        <w:tabs>
          <w:tab w:val="left" w:pos="360"/>
          <w:tab w:val="left" w:pos="540"/>
          <w:tab w:val="left" w:pos="644"/>
        </w:tabs>
        <w:kinsoku/>
        <w:wordWrap/>
        <w:overflowPunct/>
        <w:topLinePunct w:val="0"/>
        <w:bidi w:val="0"/>
        <w:adjustRightInd w:val="0"/>
        <w:spacing w:after="0" w:line="440" w:lineRule="exact"/>
        <w:ind w:left="540" w:hanging="616" w:hangingChars="257"/>
        <w:jc w:val="both"/>
        <w:outlineLvl w:val="1"/>
        <w:rPr>
          <w:rFonts w:ascii="宋体" w:hAnsi="宋体"/>
          <w:color w:val="auto"/>
          <w:sz w:val="24"/>
          <w:szCs w:val="24"/>
          <w:highlight w:val="none"/>
        </w:rPr>
      </w:pPr>
      <w:r>
        <w:rPr>
          <w:rFonts w:hint="eastAsia" w:ascii="宋体" w:hAnsi="宋体" w:cs="宋体"/>
          <w:color w:val="auto"/>
          <w:sz w:val="24"/>
          <w:szCs w:val="24"/>
          <w:highlight w:val="none"/>
        </w:rPr>
        <w:t>适用范围</w:t>
      </w:r>
    </w:p>
    <w:p w14:paraId="1C5A0B06">
      <w:pPr>
        <w:pageBreakBefore w:val="0"/>
        <w:tabs>
          <w:tab w:val="left" w:pos="567"/>
          <w:tab w:val="left" w:pos="709"/>
          <w:tab w:val="left" w:pos="851"/>
          <w:tab w:val="left" w:pos="1134"/>
        </w:tabs>
        <w:kinsoku/>
        <w:wordWrap/>
        <w:overflowPunct/>
        <w:topLinePunct w:val="0"/>
        <w:bidi w:val="0"/>
        <w:spacing w:after="0" w:line="440" w:lineRule="exact"/>
        <w:rPr>
          <w:rFonts w:ascii="宋体" w:hAnsi="宋体"/>
          <w:color w:val="auto"/>
          <w:sz w:val="24"/>
          <w:szCs w:val="24"/>
          <w:highlight w:val="none"/>
        </w:rPr>
      </w:pPr>
      <w:r>
        <w:rPr>
          <w:rFonts w:hint="eastAsia" w:ascii="宋体" w:hAnsi="宋体" w:cs="宋体"/>
          <w:color w:val="auto"/>
          <w:sz w:val="24"/>
          <w:szCs w:val="24"/>
          <w:highlight w:val="none"/>
        </w:rPr>
        <w:t>1.1 本文件仅适用于第一章“磋商公告”所列项目的货物、工程及服务的采购。</w:t>
      </w:r>
    </w:p>
    <w:p w14:paraId="4565A6E4">
      <w:pPr>
        <w:pageBreakBefore w:val="0"/>
        <w:widowControl w:val="0"/>
        <w:numPr>
          <w:ilvl w:val="0"/>
          <w:numId w:val="11"/>
        </w:numPr>
        <w:tabs>
          <w:tab w:val="left" w:pos="360"/>
          <w:tab w:val="left" w:pos="540"/>
          <w:tab w:val="left" w:pos="644"/>
        </w:tabs>
        <w:kinsoku/>
        <w:wordWrap/>
        <w:overflowPunct/>
        <w:topLinePunct w:val="0"/>
        <w:bidi w:val="0"/>
        <w:adjustRightInd w:val="0"/>
        <w:spacing w:after="0" w:line="440" w:lineRule="exact"/>
        <w:ind w:left="540" w:hanging="616" w:hangingChars="257"/>
        <w:jc w:val="both"/>
        <w:outlineLvl w:val="1"/>
        <w:rPr>
          <w:rFonts w:ascii="宋体" w:hAnsi="宋体"/>
          <w:color w:val="auto"/>
          <w:sz w:val="24"/>
          <w:szCs w:val="24"/>
          <w:highlight w:val="none"/>
        </w:rPr>
      </w:pPr>
      <w:r>
        <w:rPr>
          <w:rFonts w:hint="eastAsia" w:ascii="宋体" w:hAnsi="宋体" w:cs="宋体"/>
          <w:color w:val="auto"/>
          <w:sz w:val="24"/>
          <w:szCs w:val="24"/>
          <w:highlight w:val="none"/>
        </w:rPr>
        <w:t>定义</w:t>
      </w:r>
    </w:p>
    <w:p w14:paraId="67C05E21">
      <w:pPr>
        <w:pageBreakBefore w:val="0"/>
        <w:tabs>
          <w:tab w:val="left" w:pos="540"/>
        </w:tabs>
        <w:kinsoku/>
        <w:wordWrap/>
        <w:overflowPunct/>
        <w:topLinePunct w:val="0"/>
        <w:bidi w:val="0"/>
        <w:adjustRightInd w:val="0"/>
        <w:spacing w:after="0" w:line="440" w:lineRule="exact"/>
        <w:rPr>
          <w:rFonts w:ascii="宋体" w:hAnsi="宋体"/>
          <w:color w:val="auto"/>
          <w:sz w:val="24"/>
          <w:szCs w:val="24"/>
          <w:highlight w:val="none"/>
        </w:rPr>
      </w:pPr>
      <w:r>
        <w:rPr>
          <w:rFonts w:hint="eastAsia" w:ascii="宋体" w:hAnsi="宋体" w:cs="宋体"/>
          <w:color w:val="auto"/>
          <w:sz w:val="24"/>
          <w:szCs w:val="24"/>
          <w:highlight w:val="none"/>
        </w:rPr>
        <w:t>2.1</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“采购人”是指：详见《供应商须知前附表》。</w:t>
      </w:r>
    </w:p>
    <w:p w14:paraId="59E80801">
      <w:pPr>
        <w:pageBreakBefore w:val="0"/>
        <w:tabs>
          <w:tab w:val="left" w:pos="540"/>
        </w:tabs>
        <w:kinsoku/>
        <w:wordWrap/>
        <w:overflowPunct/>
        <w:topLinePunct w:val="0"/>
        <w:bidi w:val="0"/>
        <w:adjustRightInd w:val="0"/>
        <w:spacing w:after="0" w:line="440" w:lineRule="exact"/>
        <w:rPr>
          <w:rFonts w:ascii="宋体" w:hAnsi="宋体" w:cs="宋体"/>
          <w:color w:val="auto"/>
          <w:sz w:val="24"/>
          <w:szCs w:val="24"/>
          <w:highlight w:val="none"/>
        </w:rPr>
      </w:pPr>
      <w:r>
        <w:rPr>
          <w:rFonts w:hint="eastAsia" w:ascii="宋体" w:hAnsi="宋体" w:cs="宋体"/>
          <w:color w:val="auto"/>
          <w:sz w:val="24"/>
          <w:szCs w:val="24"/>
          <w:highlight w:val="none"/>
        </w:rPr>
        <w:t>2.2</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“监管机构”是指：详见《供应商须知前附表》。</w:t>
      </w:r>
    </w:p>
    <w:p w14:paraId="3587FD68">
      <w:pPr>
        <w:pageBreakBefore w:val="0"/>
        <w:tabs>
          <w:tab w:val="left" w:pos="540"/>
        </w:tabs>
        <w:kinsoku/>
        <w:wordWrap/>
        <w:overflowPunct/>
        <w:topLinePunct w:val="0"/>
        <w:bidi w:val="0"/>
        <w:adjustRightInd w:val="0"/>
        <w:spacing w:after="0" w:line="440" w:lineRule="exact"/>
        <w:rPr>
          <w:rFonts w:ascii="宋体" w:hAnsi="宋体" w:cs="宋体"/>
          <w:color w:val="auto"/>
          <w:sz w:val="24"/>
          <w:szCs w:val="24"/>
          <w:highlight w:val="none"/>
        </w:rPr>
      </w:pPr>
      <w:r>
        <w:rPr>
          <w:rFonts w:hint="eastAsia" w:ascii="宋体" w:hAnsi="宋体" w:cs="宋体"/>
          <w:color w:val="auto"/>
          <w:sz w:val="24"/>
          <w:szCs w:val="24"/>
          <w:highlight w:val="none"/>
        </w:rPr>
        <w:t>2.3</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“采购代理机构”是指：详见《供应商须知前附表》。</w:t>
      </w:r>
    </w:p>
    <w:p w14:paraId="3D115FF7">
      <w:pPr>
        <w:pageBreakBefore w:val="0"/>
        <w:tabs>
          <w:tab w:val="left" w:pos="540"/>
        </w:tabs>
        <w:kinsoku/>
        <w:wordWrap/>
        <w:overflowPunct/>
        <w:topLinePunct w:val="0"/>
        <w:bidi w:val="0"/>
        <w:adjustRightInd w:val="0"/>
        <w:spacing w:after="0" w:line="440" w:lineRule="exact"/>
        <w:rPr>
          <w:rFonts w:ascii="宋体" w:hAnsi="宋体" w:cs="宋体"/>
          <w:color w:val="auto"/>
          <w:sz w:val="24"/>
          <w:szCs w:val="24"/>
          <w:highlight w:val="none"/>
        </w:rPr>
      </w:pPr>
      <w:r>
        <w:rPr>
          <w:rFonts w:hint="eastAsia" w:ascii="宋体" w:hAnsi="宋体" w:cs="宋体"/>
          <w:color w:val="auto"/>
          <w:sz w:val="24"/>
          <w:szCs w:val="24"/>
          <w:highlight w:val="none"/>
        </w:rPr>
        <w:t>2.4</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“评审小组”是指：采购代理机构依法组建的竞争性评审小组。</w:t>
      </w:r>
    </w:p>
    <w:p w14:paraId="5E9B50C2">
      <w:pPr>
        <w:pageBreakBefore w:val="0"/>
        <w:tabs>
          <w:tab w:val="left" w:pos="540"/>
        </w:tabs>
        <w:kinsoku/>
        <w:wordWrap/>
        <w:overflowPunct/>
        <w:topLinePunct w:val="0"/>
        <w:bidi w:val="0"/>
        <w:adjustRightInd w:val="0"/>
        <w:spacing w:after="0" w:line="440" w:lineRule="exact"/>
        <w:ind w:left="630" w:hanging="720" w:hangingChars="300"/>
        <w:rPr>
          <w:rFonts w:ascii="宋体" w:hAnsi="宋体" w:cs="宋体"/>
          <w:color w:val="auto"/>
          <w:sz w:val="24"/>
          <w:szCs w:val="24"/>
          <w:highlight w:val="none"/>
        </w:rPr>
      </w:pPr>
      <w:r>
        <w:rPr>
          <w:rFonts w:hint="eastAsia" w:ascii="宋体" w:hAnsi="宋体" w:cs="宋体"/>
          <w:color w:val="auto"/>
          <w:sz w:val="24"/>
          <w:szCs w:val="24"/>
          <w:highlight w:val="none"/>
        </w:rPr>
        <w:t>2.5</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“供应商”是指：响应磋商公告要求、获取了采购文件并参加本次竞争性磋商的法人、其他组织或者自然人。</w:t>
      </w:r>
    </w:p>
    <w:p w14:paraId="07760E01">
      <w:pPr>
        <w:pageBreakBefore w:val="0"/>
        <w:tabs>
          <w:tab w:val="left" w:pos="540"/>
        </w:tabs>
        <w:kinsoku/>
        <w:wordWrap/>
        <w:overflowPunct/>
        <w:topLinePunct w:val="0"/>
        <w:bidi w:val="0"/>
        <w:adjustRightInd w:val="0"/>
        <w:spacing w:after="0" w:line="440" w:lineRule="exact"/>
        <w:ind w:left="630" w:hanging="720" w:hangingChars="300"/>
        <w:rPr>
          <w:rFonts w:ascii="宋体" w:hAnsi="宋体" w:cs="宋体"/>
          <w:color w:val="auto"/>
          <w:sz w:val="24"/>
          <w:szCs w:val="24"/>
          <w:highlight w:val="none"/>
        </w:rPr>
      </w:pPr>
      <w:r>
        <w:rPr>
          <w:rFonts w:hint="eastAsia" w:ascii="宋体" w:hAnsi="宋体" w:cs="宋体"/>
          <w:color w:val="auto"/>
          <w:sz w:val="24"/>
          <w:szCs w:val="24"/>
          <w:highlight w:val="none"/>
        </w:rPr>
        <w:t>2.6</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“合格的供应商”是指：经评审小组资格审查和符合性审查合格的供应商。如果该供应商在本次磋商中成交，即成为“成交供应商”。</w:t>
      </w:r>
    </w:p>
    <w:p w14:paraId="5703E293">
      <w:pPr>
        <w:pageBreakBefore w:val="0"/>
        <w:tabs>
          <w:tab w:val="left" w:pos="540"/>
        </w:tabs>
        <w:kinsoku/>
        <w:wordWrap/>
        <w:overflowPunct/>
        <w:topLinePunct w:val="0"/>
        <w:bidi w:val="0"/>
        <w:adjustRightInd w:val="0"/>
        <w:spacing w:after="0" w:line="440" w:lineRule="exact"/>
        <w:rPr>
          <w:rFonts w:ascii="宋体" w:hAnsi="宋体" w:cs="宋体"/>
          <w:color w:val="auto"/>
          <w:sz w:val="24"/>
          <w:szCs w:val="24"/>
          <w:highlight w:val="none"/>
        </w:rPr>
      </w:pPr>
      <w:r>
        <w:rPr>
          <w:rFonts w:hint="eastAsia" w:ascii="宋体" w:hAnsi="宋体" w:cs="宋体"/>
          <w:color w:val="auto"/>
          <w:sz w:val="24"/>
          <w:szCs w:val="24"/>
          <w:highlight w:val="none"/>
        </w:rPr>
        <w:t>2.7“进口产品”是指：通过中国海关报关验放进入中国境内且产自关境外的产品。</w:t>
      </w:r>
    </w:p>
    <w:p w14:paraId="4B1813AB">
      <w:pPr>
        <w:pageBreakBefore w:val="0"/>
        <w:widowControl w:val="0"/>
        <w:numPr>
          <w:ilvl w:val="0"/>
          <w:numId w:val="11"/>
        </w:numPr>
        <w:tabs>
          <w:tab w:val="left" w:pos="360"/>
          <w:tab w:val="left" w:pos="540"/>
          <w:tab w:val="left" w:pos="644"/>
        </w:tabs>
        <w:kinsoku/>
        <w:wordWrap/>
        <w:overflowPunct/>
        <w:topLinePunct w:val="0"/>
        <w:bidi w:val="0"/>
        <w:adjustRightInd w:val="0"/>
        <w:spacing w:after="0" w:line="440" w:lineRule="exact"/>
        <w:ind w:left="540" w:hanging="616" w:hangingChars="257"/>
        <w:jc w:val="both"/>
        <w:outlineLvl w:val="1"/>
        <w:rPr>
          <w:rFonts w:ascii="宋体" w:hAnsi="宋体" w:cs="宋体"/>
          <w:color w:val="auto"/>
          <w:sz w:val="24"/>
          <w:szCs w:val="24"/>
          <w:highlight w:val="none"/>
        </w:rPr>
      </w:pPr>
      <w:r>
        <w:rPr>
          <w:rFonts w:hint="eastAsia" w:ascii="宋体" w:hAnsi="宋体" w:cs="宋体"/>
          <w:color w:val="auto"/>
          <w:sz w:val="24"/>
          <w:szCs w:val="24"/>
          <w:highlight w:val="none"/>
        </w:rPr>
        <w:t>项目属性</w:t>
      </w:r>
    </w:p>
    <w:p w14:paraId="75B76108">
      <w:pPr>
        <w:pageBreakBefore w:val="0"/>
        <w:widowControl w:val="0"/>
        <w:numPr>
          <w:ilvl w:val="0"/>
          <w:numId w:val="12"/>
        </w:numPr>
        <w:kinsoku/>
        <w:wordWrap/>
        <w:overflowPunct/>
        <w:topLinePunct w:val="0"/>
        <w:bidi w:val="0"/>
        <w:spacing w:after="0" w:line="440" w:lineRule="exact"/>
        <w:ind w:left="426" w:hanging="426"/>
        <w:jc w:val="both"/>
        <w:rPr>
          <w:rFonts w:ascii="宋体" w:hAnsi="宋体"/>
          <w:color w:val="auto"/>
          <w:kern w:val="2"/>
          <w:sz w:val="24"/>
          <w:szCs w:val="24"/>
          <w:highlight w:val="none"/>
          <w:lang w:val="zh-CN"/>
        </w:rPr>
      </w:pPr>
      <w:r>
        <w:rPr>
          <w:rFonts w:hint="eastAsia" w:ascii="宋体" w:hAnsi="宋体"/>
          <w:color w:val="auto"/>
          <w:kern w:val="2"/>
          <w:sz w:val="24"/>
          <w:szCs w:val="24"/>
          <w:highlight w:val="none"/>
          <w:lang w:val="zh-CN"/>
        </w:rPr>
        <w:t>“货物”：是指各种形态和种类的物品，包括原材料、燃料、设备、产品等。</w:t>
      </w:r>
    </w:p>
    <w:p w14:paraId="17126EEA">
      <w:pPr>
        <w:pageBreakBefore w:val="0"/>
        <w:widowControl w:val="0"/>
        <w:numPr>
          <w:ilvl w:val="0"/>
          <w:numId w:val="13"/>
        </w:numPr>
        <w:kinsoku/>
        <w:wordWrap/>
        <w:overflowPunct/>
        <w:topLinePunct w:val="0"/>
        <w:bidi w:val="0"/>
        <w:spacing w:after="0" w:line="440" w:lineRule="exact"/>
        <w:ind w:left="726" w:hanging="442"/>
        <w:jc w:val="both"/>
        <w:rPr>
          <w:rFonts w:ascii="宋体" w:hAnsi="宋体"/>
          <w:color w:val="auto"/>
          <w:kern w:val="2"/>
          <w:sz w:val="24"/>
          <w:szCs w:val="24"/>
          <w:highlight w:val="none"/>
          <w:lang w:val="zh-CN"/>
        </w:rPr>
      </w:pPr>
      <w:r>
        <w:rPr>
          <w:rFonts w:hint="eastAsia" w:ascii="宋体" w:hAnsi="宋体"/>
          <w:color w:val="auto"/>
          <w:kern w:val="2"/>
          <w:sz w:val="24"/>
          <w:szCs w:val="24"/>
          <w:highlight w:val="none"/>
          <w:lang w:val="zh-CN"/>
        </w:rPr>
        <w:t>采购文件中没有提及采购货物来源地的，根据《政府采购法》及相关规定均应是本国货物，另有规定的除外。</w:t>
      </w:r>
    </w:p>
    <w:p w14:paraId="3935B5FD">
      <w:pPr>
        <w:pageBreakBefore w:val="0"/>
        <w:widowControl w:val="0"/>
        <w:numPr>
          <w:ilvl w:val="0"/>
          <w:numId w:val="13"/>
        </w:numPr>
        <w:kinsoku/>
        <w:wordWrap/>
        <w:overflowPunct/>
        <w:topLinePunct w:val="0"/>
        <w:bidi w:val="0"/>
        <w:spacing w:after="0" w:line="440" w:lineRule="exact"/>
        <w:ind w:left="726" w:hanging="442"/>
        <w:jc w:val="both"/>
        <w:rPr>
          <w:rFonts w:ascii="宋体" w:hAnsi="宋体"/>
          <w:color w:val="auto"/>
          <w:kern w:val="2"/>
          <w:sz w:val="24"/>
          <w:szCs w:val="24"/>
          <w:highlight w:val="none"/>
          <w:lang w:val="zh-CN"/>
        </w:rPr>
      </w:pPr>
      <w:r>
        <w:rPr>
          <w:rFonts w:hint="eastAsia" w:ascii="宋体" w:hAnsi="宋体"/>
          <w:color w:val="auto"/>
          <w:kern w:val="2"/>
          <w:sz w:val="24"/>
          <w:szCs w:val="24"/>
          <w:highlight w:val="none"/>
          <w:lang w:val="zh-CN"/>
        </w:rPr>
        <w:t>响应货物应是合法生产的符合国家有关标准要求的货物，并能够按照合同规定的品牌、产地、质量、价格和有效期等履约。</w:t>
      </w:r>
    </w:p>
    <w:p w14:paraId="5C93807A">
      <w:pPr>
        <w:pageBreakBefore w:val="0"/>
        <w:widowControl w:val="0"/>
        <w:numPr>
          <w:ilvl w:val="0"/>
          <w:numId w:val="12"/>
        </w:numPr>
        <w:kinsoku/>
        <w:wordWrap/>
        <w:overflowPunct/>
        <w:topLinePunct w:val="0"/>
        <w:bidi w:val="0"/>
        <w:spacing w:after="0" w:line="440" w:lineRule="exact"/>
        <w:ind w:left="426" w:hanging="426"/>
        <w:jc w:val="both"/>
        <w:rPr>
          <w:rFonts w:ascii="宋体" w:hAnsi="宋体"/>
          <w:color w:val="auto"/>
          <w:kern w:val="2"/>
          <w:sz w:val="24"/>
          <w:szCs w:val="24"/>
          <w:highlight w:val="none"/>
          <w:lang w:val="zh-CN"/>
        </w:rPr>
      </w:pPr>
      <w:r>
        <w:rPr>
          <w:rFonts w:hint="eastAsia" w:ascii="宋体" w:hAnsi="宋体"/>
          <w:color w:val="auto"/>
          <w:kern w:val="2"/>
          <w:sz w:val="24"/>
          <w:szCs w:val="24"/>
          <w:highlight w:val="none"/>
          <w:lang w:val="zh-CN"/>
        </w:rPr>
        <w:t>“工程”：是指建设工程，包括建筑物和构筑物的新建、改建、扩建及其相关的装修、拆除、修缮等。</w:t>
      </w:r>
    </w:p>
    <w:p w14:paraId="21B4B2CC">
      <w:pPr>
        <w:pageBreakBefore w:val="0"/>
        <w:widowControl w:val="0"/>
        <w:numPr>
          <w:ilvl w:val="0"/>
          <w:numId w:val="12"/>
        </w:numPr>
        <w:kinsoku/>
        <w:wordWrap/>
        <w:overflowPunct/>
        <w:topLinePunct w:val="0"/>
        <w:bidi w:val="0"/>
        <w:spacing w:after="0" w:line="440" w:lineRule="exact"/>
        <w:ind w:left="426" w:hanging="426"/>
        <w:jc w:val="both"/>
        <w:rPr>
          <w:rFonts w:ascii="宋体" w:hAnsi="宋体"/>
          <w:color w:val="auto"/>
          <w:kern w:val="2"/>
          <w:sz w:val="24"/>
          <w:szCs w:val="24"/>
          <w:highlight w:val="none"/>
          <w:lang w:val="zh-CN"/>
        </w:rPr>
      </w:pPr>
      <w:r>
        <w:rPr>
          <w:rFonts w:hint="eastAsia" w:ascii="宋体" w:hAnsi="宋体"/>
          <w:color w:val="auto"/>
          <w:kern w:val="2"/>
          <w:sz w:val="24"/>
          <w:szCs w:val="24"/>
          <w:highlight w:val="none"/>
          <w:lang w:val="zh-CN"/>
        </w:rPr>
        <w:t>“服务”：是指除前述“货物”和“工程”以外的其他政府采购对象,</w:t>
      </w:r>
      <w:r>
        <w:rPr>
          <w:rFonts w:hint="eastAsia" w:ascii="宋体" w:hAnsi="宋体"/>
          <w:color w:val="auto"/>
          <w:kern w:val="2"/>
          <w:sz w:val="24"/>
          <w:szCs w:val="24"/>
          <w:highlight w:val="none"/>
        </w:rPr>
        <w:t xml:space="preserve"> </w:t>
      </w:r>
      <w:r>
        <w:rPr>
          <w:rFonts w:hint="eastAsia" w:ascii="宋体" w:hAnsi="宋体"/>
          <w:color w:val="auto"/>
          <w:kern w:val="2"/>
          <w:sz w:val="24"/>
          <w:szCs w:val="24"/>
          <w:highlight w:val="none"/>
          <w:lang w:val="zh-CN"/>
        </w:rPr>
        <w:t>包括采购人自身需要的服务和采购人向社会公众提供的公共服务。</w:t>
      </w:r>
    </w:p>
    <w:p w14:paraId="2C3BF3DC">
      <w:pPr>
        <w:pageBreakBefore w:val="0"/>
        <w:widowControl w:val="0"/>
        <w:numPr>
          <w:ilvl w:val="0"/>
          <w:numId w:val="11"/>
        </w:numPr>
        <w:tabs>
          <w:tab w:val="left" w:pos="360"/>
          <w:tab w:val="left" w:pos="540"/>
          <w:tab w:val="left" w:pos="644"/>
        </w:tabs>
        <w:kinsoku/>
        <w:wordWrap/>
        <w:overflowPunct/>
        <w:topLinePunct w:val="0"/>
        <w:bidi w:val="0"/>
        <w:adjustRightInd w:val="0"/>
        <w:spacing w:after="0" w:line="440" w:lineRule="exact"/>
        <w:ind w:left="540" w:hanging="616" w:hangingChars="257"/>
        <w:jc w:val="both"/>
        <w:outlineLvl w:val="1"/>
        <w:rPr>
          <w:rFonts w:ascii="宋体" w:hAnsi="宋体"/>
          <w:color w:val="auto"/>
          <w:sz w:val="24"/>
          <w:szCs w:val="24"/>
          <w:highlight w:val="none"/>
        </w:rPr>
      </w:pPr>
      <w:r>
        <w:rPr>
          <w:rFonts w:hint="eastAsia" w:ascii="宋体" w:hAnsi="宋体" w:cs="宋体"/>
          <w:color w:val="auto"/>
          <w:sz w:val="24"/>
          <w:szCs w:val="24"/>
          <w:highlight w:val="none"/>
        </w:rPr>
        <w:t>费用</w:t>
      </w:r>
    </w:p>
    <w:p w14:paraId="1306F7CC">
      <w:pPr>
        <w:pageBreakBefore w:val="0"/>
        <w:widowControl w:val="0"/>
        <w:numPr>
          <w:ilvl w:val="0"/>
          <w:numId w:val="14"/>
        </w:numPr>
        <w:tabs>
          <w:tab w:val="left" w:pos="709"/>
        </w:tabs>
        <w:kinsoku/>
        <w:wordWrap/>
        <w:overflowPunct/>
        <w:topLinePunct w:val="0"/>
        <w:bidi w:val="0"/>
        <w:spacing w:after="0" w:line="440" w:lineRule="exact"/>
        <w:ind w:left="424" w:hanging="484" w:hangingChars="202"/>
        <w:contextualSpacing/>
        <w:jc w:val="both"/>
        <w:rPr>
          <w:rFonts w:ascii="宋体" w:hAnsi="宋体" w:cs="宋体"/>
          <w:color w:val="auto"/>
          <w:sz w:val="24"/>
          <w:szCs w:val="24"/>
          <w:highlight w:val="none"/>
        </w:rPr>
      </w:pPr>
      <w:r>
        <w:rPr>
          <w:rFonts w:hint="eastAsia" w:ascii="宋体" w:hAnsi="宋体" w:cs="宋体"/>
          <w:color w:val="auto"/>
          <w:sz w:val="24"/>
          <w:szCs w:val="24"/>
          <w:highlight w:val="none"/>
        </w:rPr>
        <w:t>供应商应自行承担所有与编写和提交响应文件有关的费用，不论结果如何，采购人和采购代理机构在任何情况下无义务和责任承担此类费用。</w:t>
      </w:r>
    </w:p>
    <w:p w14:paraId="0D5CFB6B">
      <w:pPr>
        <w:pageBreakBefore w:val="0"/>
        <w:widowControl w:val="0"/>
        <w:numPr>
          <w:ilvl w:val="0"/>
          <w:numId w:val="14"/>
        </w:numPr>
        <w:tabs>
          <w:tab w:val="left" w:pos="709"/>
        </w:tabs>
        <w:kinsoku/>
        <w:wordWrap/>
        <w:overflowPunct/>
        <w:topLinePunct w:val="0"/>
        <w:bidi w:val="0"/>
        <w:spacing w:after="0" w:line="440" w:lineRule="exact"/>
        <w:ind w:left="424" w:hanging="484" w:hangingChars="202"/>
        <w:contextualSpacing/>
        <w:jc w:val="both"/>
        <w:rPr>
          <w:rFonts w:ascii="宋体" w:hAnsi="宋体" w:cs="宋体"/>
          <w:color w:val="auto"/>
          <w:sz w:val="24"/>
          <w:szCs w:val="24"/>
          <w:highlight w:val="none"/>
        </w:rPr>
      </w:pPr>
      <w:r>
        <w:rPr>
          <w:rFonts w:hint="eastAsia" w:ascii="宋体" w:hAnsi="宋体" w:cs="宋体"/>
          <w:color w:val="auto"/>
          <w:sz w:val="24"/>
          <w:szCs w:val="24"/>
          <w:highlight w:val="none"/>
        </w:rPr>
        <w:t>使用电子交易平台参与响应的，应向电子交易平台支付平台信息服务费（以下简称“平台服务费”），收费标准详见《供应商须知前附表》。</w:t>
      </w:r>
    </w:p>
    <w:p w14:paraId="4325F516">
      <w:pPr>
        <w:pageBreakBefore w:val="0"/>
        <w:widowControl w:val="0"/>
        <w:numPr>
          <w:ilvl w:val="0"/>
          <w:numId w:val="14"/>
        </w:numPr>
        <w:tabs>
          <w:tab w:val="left" w:pos="709"/>
        </w:tabs>
        <w:kinsoku/>
        <w:wordWrap/>
        <w:overflowPunct/>
        <w:topLinePunct w:val="0"/>
        <w:bidi w:val="0"/>
        <w:spacing w:after="0" w:line="440" w:lineRule="exact"/>
        <w:ind w:left="424" w:hanging="484" w:hangingChars="202"/>
        <w:contextualSpacing/>
        <w:jc w:val="both"/>
        <w:rPr>
          <w:rFonts w:ascii="宋体" w:hAnsi="宋体" w:cs="宋体"/>
          <w:color w:val="auto"/>
          <w:sz w:val="24"/>
          <w:szCs w:val="24"/>
          <w:highlight w:val="none"/>
        </w:rPr>
      </w:pPr>
      <w:r>
        <w:rPr>
          <w:rFonts w:hint="eastAsia" w:ascii="宋体" w:hAnsi="宋体" w:cs="宋体"/>
          <w:color w:val="auto"/>
          <w:sz w:val="24"/>
          <w:szCs w:val="24"/>
          <w:highlight w:val="none"/>
        </w:rPr>
        <w:t>成交供应商须在收到成交通知书时向采购代理机构支付代理服务费。服务费支付标准和方法详见《供应商须知前附表》。</w:t>
      </w:r>
    </w:p>
    <w:p w14:paraId="22383632">
      <w:pPr>
        <w:pageBreakBefore w:val="0"/>
        <w:widowControl w:val="0"/>
        <w:numPr>
          <w:ilvl w:val="0"/>
          <w:numId w:val="14"/>
        </w:numPr>
        <w:tabs>
          <w:tab w:val="left" w:pos="709"/>
        </w:tabs>
        <w:kinsoku/>
        <w:wordWrap/>
        <w:overflowPunct/>
        <w:topLinePunct w:val="0"/>
        <w:bidi w:val="0"/>
        <w:spacing w:after="0" w:line="440" w:lineRule="exact"/>
        <w:ind w:left="424" w:hanging="484" w:hangingChars="202"/>
        <w:contextualSpacing/>
        <w:jc w:val="both"/>
        <w:rPr>
          <w:rFonts w:ascii="宋体" w:hAnsi="宋体" w:cs="宋体"/>
          <w:color w:val="auto"/>
          <w:sz w:val="24"/>
          <w:szCs w:val="24"/>
          <w:highlight w:val="none"/>
        </w:rPr>
      </w:pPr>
      <w:r>
        <w:rPr>
          <w:rFonts w:hint="eastAsia" w:ascii="宋体" w:hAnsi="宋体" w:cs="宋体"/>
          <w:color w:val="auto"/>
          <w:sz w:val="24"/>
          <w:szCs w:val="24"/>
          <w:highlight w:val="none"/>
        </w:rPr>
        <w:t>原国家计委计价格﹝2002﹞1980号规定标准收费：</w:t>
      </w:r>
    </w:p>
    <w:tbl>
      <w:tblPr>
        <w:tblStyle w:val="36"/>
        <w:tblW w:w="0" w:type="auto"/>
        <w:jc w:val="center"/>
        <w:tblLayout w:type="fixed"/>
        <w:tblCellMar>
          <w:top w:w="0" w:type="dxa"/>
          <w:left w:w="0" w:type="dxa"/>
          <w:bottom w:w="0" w:type="dxa"/>
          <w:right w:w="0" w:type="dxa"/>
        </w:tblCellMar>
      </w:tblPr>
      <w:tblGrid>
        <w:gridCol w:w="2116"/>
        <w:gridCol w:w="2024"/>
        <w:gridCol w:w="1800"/>
        <w:gridCol w:w="2160"/>
      </w:tblGrid>
      <w:tr w14:paraId="3B85E805">
        <w:tblPrEx>
          <w:tblCellMar>
            <w:top w:w="0" w:type="dxa"/>
            <w:left w:w="0" w:type="dxa"/>
            <w:bottom w:w="0" w:type="dxa"/>
            <w:right w:w="0" w:type="dxa"/>
          </w:tblCellMar>
        </w:tblPrEx>
        <w:trPr>
          <w:trHeight w:val="340" w:hRule="atLeast"/>
          <w:tblHeader/>
          <w:jc w:val="center"/>
        </w:trPr>
        <w:tc>
          <w:tcPr>
            <w:tcW w:w="2116" w:type="dxa"/>
            <w:tcBorders>
              <w:top w:val="single" w:color="auto" w:sz="4" w:space="0"/>
              <w:left w:val="single" w:color="auto" w:sz="8" w:space="0"/>
              <w:bottom w:val="single" w:color="auto" w:sz="8" w:space="0"/>
              <w:right w:val="single" w:color="auto" w:sz="8" w:space="0"/>
            </w:tcBorders>
            <w:vAlign w:val="center"/>
          </w:tcPr>
          <w:p w14:paraId="6183D08A">
            <w:pPr>
              <w:pageBreakBefore w:val="0"/>
              <w:kinsoku/>
              <w:wordWrap/>
              <w:overflowPunct/>
              <w:topLinePunct w:val="0"/>
              <w:bidi w:val="0"/>
              <w:spacing w:after="0" w:line="440" w:lineRule="exact"/>
              <w:jc w:val="center"/>
              <w:rPr>
                <w:rFonts w:ascii="宋体" w:hAnsi="宋体" w:cs="宋体"/>
                <w:b/>
                <w:color w:val="auto"/>
                <w:kern w:val="2"/>
                <w:sz w:val="24"/>
                <w:szCs w:val="24"/>
                <w:highlight w:val="none"/>
              </w:rPr>
            </w:pPr>
            <w:r>
              <w:rPr>
                <w:rFonts w:hint="eastAsia" w:ascii="宋体" w:hAnsi="宋体" w:cs="宋体"/>
                <w:b/>
                <w:color w:val="auto"/>
                <w:kern w:val="2"/>
                <w:sz w:val="24"/>
                <w:szCs w:val="24"/>
                <w:highlight w:val="none"/>
              </w:rPr>
              <w:t>中标金额（万元）</w:t>
            </w:r>
          </w:p>
        </w:tc>
        <w:tc>
          <w:tcPr>
            <w:tcW w:w="2024" w:type="dxa"/>
            <w:tcBorders>
              <w:top w:val="single" w:color="auto" w:sz="8" w:space="0"/>
              <w:left w:val="single" w:color="auto" w:sz="8" w:space="0"/>
              <w:bottom w:val="single" w:color="auto" w:sz="8" w:space="0"/>
              <w:right w:val="single" w:color="auto" w:sz="8" w:space="0"/>
            </w:tcBorders>
            <w:vAlign w:val="center"/>
          </w:tcPr>
          <w:p w14:paraId="18E416B3">
            <w:pPr>
              <w:pageBreakBefore w:val="0"/>
              <w:kinsoku/>
              <w:wordWrap/>
              <w:overflowPunct/>
              <w:topLinePunct w:val="0"/>
              <w:bidi w:val="0"/>
              <w:spacing w:after="0" w:line="440" w:lineRule="exact"/>
              <w:jc w:val="center"/>
              <w:rPr>
                <w:rFonts w:ascii="宋体" w:hAnsi="宋体" w:cs="宋体"/>
                <w:b/>
                <w:color w:val="auto"/>
                <w:kern w:val="2"/>
                <w:sz w:val="24"/>
                <w:szCs w:val="24"/>
                <w:highlight w:val="none"/>
              </w:rPr>
            </w:pPr>
            <w:r>
              <w:rPr>
                <w:rFonts w:hint="eastAsia" w:ascii="宋体" w:hAnsi="宋体" w:cs="宋体"/>
                <w:b/>
                <w:color w:val="auto"/>
                <w:kern w:val="2"/>
                <w:sz w:val="24"/>
                <w:szCs w:val="24"/>
                <w:highlight w:val="none"/>
              </w:rPr>
              <w:t>货物</w:t>
            </w:r>
          </w:p>
        </w:tc>
        <w:tc>
          <w:tcPr>
            <w:tcW w:w="1800" w:type="dxa"/>
            <w:tcBorders>
              <w:top w:val="single" w:color="auto" w:sz="8" w:space="0"/>
              <w:left w:val="single" w:color="auto" w:sz="8" w:space="0"/>
              <w:bottom w:val="single" w:color="auto" w:sz="8" w:space="0"/>
              <w:right w:val="single" w:color="auto" w:sz="8" w:space="0"/>
            </w:tcBorders>
            <w:vAlign w:val="center"/>
          </w:tcPr>
          <w:p w14:paraId="01479F55">
            <w:pPr>
              <w:pageBreakBefore w:val="0"/>
              <w:kinsoku/>
              <w:wordWrap/>
              <w:overflowPunct/>
              <w:topLinePunct w:val="0"/>
              <w:bidi w:val="0"/>
              <w:spacing w:after="0" w:line="440" w:lineRule="exact"/>
              <w:jc w:val="center"/>
              <w:rPr>
                <w:rFonts w:ascii="宋体" w:hAnsi="宋体" w:cs="宋体"/>
                <w:b/>
                <w:color w:val="auto"/>
                <w:kern w:val="2"/>
                <w:sz w:val="24"/>
                <w:szCs w:val="24"/>
                <w:highlight w:val="none"/>
              </w:rPr>
            </w:pPr>
            <w:r>
              <w:rPr>
                <w:rFonts w:hint="eastAsia" w:ascii="宋体" w:hAnsi="宋体" w:cs="宋体"/>
                <w:b/>
                <w:color w:val="auto"/>
                <w:kern w:val="2"/>
                <w:sz w:val="24"/>
                <w:szCs w:val="24"/>
                <w:highlight w:val="none"/>
              </w:rPr>
              <w:t>服务</w:t>
            </w:r>
          </w:p>
        </w:tc>
        <w:tc>
          <w:tcPr>
            <w:tcW w:w="2160" w:type="dxa"/>
            <w:tcBorders>
              <w:top w:val="single" w:color="auto" w:sz="8" w:space="0"/>
              <w:left w:val="single" w:color="auto" w:sz="8" w:space="0"/>
              <w:bottom w:val="single" w:color="auto" w:sz="8" w:space="0"/>
              <w:right w:val="single" w:color="auto" w:sz="8" w:space="0"/>
            </w:tcBorders>
            <w:vAlign w:val="center"/>
          </w:tcPr>
          <w:p w14:paraId="33B82C3D">
            <w:pPr>
              <w:pageBreakBefore w:val="0"/>
              <w:kinsoku/>
              <w:wordWrap/>
              <w:overflowPunct/>
              <w:topLinePunct w:val="0"/>
              <w:bidi w:val="0"/>
              <w:spacing w:after="0" w:line="440" w:lineRule="exact"/>
              <w:jc w:val="center"/>
              <w:rPr>
                <w:rFonts w:ascii="宋体" w:hAnsi="宋体" w:cs="宋体"/>
                <w:b/>
                <w:color w:val="auto"/>
                <w:kern w:val="2"/>
                <w:sz w:val="24"/>
                <w:szCs w:val="24"/>
                <w:highlight w:val="none"/>
              </w:rPr>
            </w:pPr>
            <w:r>
              <w:rPr>
                <w:rFonts w:hint="eastAsia" w:ascii="宋体" w:hAnsi="宋体" w:cs="宋体"/>
                <w:b/>
                <w:color w:val="auto"/>
                <w:kern w:val="2"/>
                <w:sz w:val="24"/>
                <w:szCs w:val="24"/>
                <w:highlight w:val="none"/>
              </w:rPr>
              <w:t>工程</w:t>
            </w:r>
          </w:p>
        </w:tc>
      </w:tr>
      <w:tr w14:paraId="1FE8A880">
        <w:tblPrEx>
          <w:tblCellMar>
            <w:top w:w="0" w:type="dxa"/>
            <w:left w:w="0" w:type="dxa"/>
            <w:bottom w:w="0" w:type="dxa"/>
            <w:right w:w="0" w:type="dxa"/>
          </w:tblCellMar>
        </w:tblPrEx>
        <w:trPr>
          <w:trHeight w:val="340" w:hRule="atLeast"/>
          <w:jc w:val="center"/>
        </w:trPr>
        <w:tc>
          <w:tcPr>
            <w:tcW w:w="2116" w:type="dxa"/>
            <w:tcBorders>
              <w:top w:val="single" w:color="auto" w:sz="8" w:space="0"/>
              <w:left w:val="single" w:color="auto" w:sz="8" w:space="0"/>
              <w:bottom w:val="single" w:color="auto" w:sz="8" w:space="0"/>
              <w:right w:val="single" w:color="auto" w:sz="8" w:space="0"/>
            </w:tcBorders>
            <w:vAlign w:val="center"/>
          </w:tcPr>
          <w:p w14:paraId="1B22CE37">
            <w:pPr>
              <w:pageBreakBefore w:val="0"/>
              <w:kinsoku/>
              <w:wordWrap/>
              <w:overflowPunct/>
              <w:topLinePunct w:val="0"/>
              <w:bidi w:val="0"/>
              <w:spacing w:after="0" w:line="44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100以下</w:t>
            </w:r>
          </w:p>
        </w:tc>
        <w:tc>
          <w:tcPr>
            <w:tcW w:w="2024" w:type="dxa"/>
            <w:tcBorders>
              <w:top w:val="single" w:color="auto" w:sz="8" w:space="0"/>
              <w:left w:val="single" w:color="auto" w:sz="8" w:space="0"/>
              <w:bottom w:val="single" w:color="auto" w:sz="8" w:space="0"/>
              <w:right w:val="single" w:color="auto" w:sz="8" w:space="0"/>
            </w:tcBorders>
            <w:vAlign w:val="center"/>
          </w:tcPr>
          <w:p w14:paraId="214DCD3A">
            <w:pPr>
              <w:pageBreakBefore w:val="0"/>
              <w:kinsoku/>
              <w:wordWrap/>
              <w:overflowPunct/>
              <w:topLinePunct w:val="0"/>
              <w:bidi w:val="0"/>
              <w:spacing w:after="0" w:line="44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1.5%</w:t>
            </w:r>
          </w:p>
        </w:tc>
        <w:tc>
          <w:tcPr>
            <w:tcW w:w="1800" w:type="dxa"/>
            <w:tcBorders>
              <w:top w:val="single" w:color="auto" w:sz="8" w:space="0"/>
              <w:left w:val="single" w:color="auto" w:sz="8" w:space="0"/>
              <w:bottom w:val="single" w:color="auto" w:sz="8" w:space="0"/>
              <w:right w:val="single" w:color="auto" w:sz="8" w:space="0"/>
            </w:tcBorders>
            <w:vAlign w:val="center"/>
          </w:tcPr>
          <w:p w14:paraId="40C6FB38">
            <w:pPr>
              <w:pageBreakBefore w:val="0"/>
              <w:kinsoku/>
              <w:wordWrap/>
              <w:overflowPunct/>
              <w:topLinePunct w:val="0"/>
              <w:bidi w:val="0"/>
              <w:spacing w:after="0" w:line="44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1.5%</w:t>
            </w:r>
          </w:p>
        </w:tc>
        <w:tc>
          <w:tcPr>
            <w:tcW w:w="2160" w:type="dxa"/>
            <w:tcBorders>
              <w:top w:val="single" w:color="auto" w:sz="8" w:space="0"/>
              <w:left w:val="single" w:color="auto" w:sz="8" w:space="0"/>
              <w:bottom w:val="single" w:color="auto" w:sz="8" w:space="0"/>
              <w:right w:val="single" w:color="auto" w:sz="8" w:space="0"/>
            </w:tcBorders>
            <w:vAlign w:val="center"/>
          </w:tcPr>
          <w:p w14:paraId="2CA06252">
            <w:pPr>
              <w:pageBreakBefore w:val="0"/>
              <w:kinsoku/>
              <w:wordWrap/>
              <w:overflowPunct/>
              <w:topLinePunct w:val="0"/>
              <w:bidi w:val="0"/>
              <w:spacing w:after="0" w:line="44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1.0%</w:t>
            </w:r>
          </w:p>
        </w:tc>
      </w:tr>
      <w:tr w14:paraId="56DE0B83">
        <w:tblPrEx>
          <w:tblCellMar>
            <w:top w:w="0" w:type="dxa"/>
            <w:left w:w="0" w:type="dxa"/>
            <w:bottom w:w="0" w:type="dxa"/>
            <w:right w:w="0" w:type="dxa"/>
          </w:tblCellMar>
        </w:tblPrEx>
        <w:trPr>
          <w:trHeight w:val="340" w:hRule="atLeast"/>
          <w:jc w:val="center"/>
        </w:trPr>
        <w:tc>
          <w:tcPr>
            <w:tcW w:w="2116" w:type="dxa"/>
            <w:tcBorders>
              <w:top w:val="single" w:color="auto" w:sz="8" w:space="0"/>
              <w:left w:val="single" w:color="auto" w:sz="8" w:space="0"/>
              <w:bottom w:val="single" w:color="auto" w:sz="8" w:space="0"/>
              <w:right w:val="single" w:color="auto" w:sz="8" w:space="0"/>
            </w:tcBorders>
            <w:vAlign w:val="center"/>
          </w:tcPr>
          <w:p w14:paraId="3B94FFA1">
            <w:pPr>
              <w:pageBreakBefore w:val="0"/>
              <w:kinsoku/>
              <w:wordWrap/>
              <w:overflowPunct/>
              <w:topLinePunct w:val="0"/>
              <w:bidi w:val="0"/>
              <w:spacing w:after="0" w:line="44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lOO-500</w:t>
            </w:r>
          </w:p>
        </w:tc>
        <w:tc>
          <w:tcPr>
            <w:tcW w:w="2024" w:type="dxa"/>
            <w:tcBorders>
              <w:top w:val="single" w:color="auto" w:sz="8" w:space="0"/>
              <w:left w:val="single" w:color="auto" w:sz="8" w:space="0"/>
              <w:bottom w:val="single" w:color="auto" w:sz="8" w:space="0"/>
              <w:right w:val="single" w:color="auto" w:sz="8" w:space="0"/>
            </w:tcBorders>
            <w:vAlign w:val="center"/>
          </w:tcPr>
          <w:p w14:paraId="5E1FA81E">
            <w:pPr>
              <w:pageBreakBefore w:val="0"/>
              <w:kinsoku/>
              <w:wordWrap/>
              <w:overflowPunct/>
              <w:topLinePunct w:val="0"/>
              <w:bidi w:val="0"/>
              <w:spacing w:after="0" w:line="44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1.1%</w:t>
            </w:r>
          </w:p>
        </w:tc>
        <w:tc>
          <w:tcPr>
            <w:tcW w:w="1800" w:type="dxa"/>
            <w:tcBorders>
              <w:top w:val="single" w:color="auto" w:sz="8" w:space="0"/>
              <w:left w:val="single" w:color="auto" w:sz="8" w:space="0"/>
              <w:bottom w:val="single" w:color="auto" w:sz="8" w:space="0"/>
              <w:right w:val="single" w:color="auto" w:sz="8" w:space="0"/>
            </w:tcBorders>
            <w:vAlign w:val="center"/>
          </w:tcPr>
          <w:p w14:paraId="7F815E90">
            <w:pPr>
              <w:pageBreakBefore w:val="0"/>
              <w:kinsoku/>
              <w:wordWrap/>
              <w:overflowPunct/>
              <w:topLinePunct w:val="0"/>
              <w:bidi w:val="0"/>
              <w:spacing w:after="0" w:line="44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0.8%</w:t>
            </w:r>
          </w:p>
        </w:tc>
        <w:tc>
          <w:tcPr>
            <w:tcW w:w="2160" w:type="dxa"/>
            <w:tcBorders>
              <w:top w:val="single" w:color="auto" w:sz="8" w:space="0"/>
              <w:left w:val="single" w:color="auto" w:sz="8" w:space="0"/>
              <w:bottom w:val="single" w:color="auto" w:sz="8" w:space="0"/>
              <w:right w:val="single" w:color="auto" w:sz="8" w:space="0"/>
            </w:tcBorders>
            <w:vAlign w:val="center"/>
          </w:tcPr>
          <w:p w14:paraId="2115A816">
            <w:pPr>
              <w:pageBreakBefore w:val="0"/>
              <w:kinsoku/>
              <w:wordWrap/>
              <w:overflowPunct/>
              <w:topLinePunct w:val="0"/>
              <w:bidi w:val="0"/>
              <w:spacing w:after="0" w:line="44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0.7%</w:t>
            </w:r>
          </w:p>
        </w:tc>
      </w:tr>
      <w:tr w14:paraId="27871C1F">
        <w:tblPrEx>
          <w:tblCellMar>
            <w:top w:w="0" w:type="dxa"/>
            <w:left w:w="0" w:type="dxa"/>
            <w:bottom w:w="0" w:type="dxa"/>
            <w:right w:w="0" w:type="dxa"/>
          </w:tblCellMar>
        </w:tblPrEx>
        <w:trPr>
          <w:trHeight w:val="340" w:hRule="atLeast"/>
          <w:jc w:val="center"/>
        </w:trPr>
        <w:tc>
          <w:tcPr>
            <w:tcW w:w="2116" w:type="dxa"/>
            <w:tcBorders>
              <w:top w:val="single" w:color="auto" w:sz="8" w:space="0"/>
              <w:left w:val="single" w:color="auto" w:sz="8" w:space="0"/>
              <w:bottom w:val="single" w:color="auto" w:sz="8" w:space="0"/>
              <w:right w:val="single" w:color="auto" w:sz="8" w:space="0"/>
            </w:tcBorders>
            <w:vAlign w:val="center"/>
          </w:tcPr>
          <w:p w14:paraId="1F6C9149">
            <w:pPr>
              <w:pageBreakBefore w:val="0"/>
              <w:kinsoku/>
              <w:wordWrap/>
              <w:overflowPunct/>
              <w:topLinePunct w:val="0"/>
              <w:bidi w:val="0"/>
              <w:spacing w:after="0" w:line="44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500-1000</w:t>
            </w:r>
          </w:p>
        </w:tc>
        <w:tc>
          <w:tcPr>
            <w:tcW w:w="2024" w:type="dxa"/>
            <w:tcBorders>
              <w:top w:val="single" w:color="auto" w:sz="8" w:space="0"/>
              <w:left w:val="single" w:color="auto" w:sz="8" w:space="0"/>
              <w:bottom w:val="single" w:color="auto" w:sz="8" w:space="0"/>
              <w:right w:val="single" w:color="auto" w:sz="8" w:space="0"/>
            </w:tcBorders>
            <w:vAlign w:val="center"/>
          </w:tcPr>
          <w:p w14:paraId="230E5831">
            <w:pPr>
              <w:pageBreakBefore w:val="0"/>
              <w:kinsoku/>
              <w:wordWrap/>
              <w:overflowPunct/>
              <w:topLinePunct w:val="0"/>
              <w:bidi w:val="0"/>
              <w:spacing w:after="0" w:line="44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0.8%</w:t>
            </w:r>
          </w:p>
        </w:tc>
        <w:tc>
          <w:tcPr>
            <w:tcW w:w="1800" w:type="dxa"/>
            <w:tcBorders>
              <w:top w:val="single" w:color="auto" w:sz="8" w:space="0"/>
              <w:left w:val="single" w:color="auto" w:sz="8" w:space="0"/>
              <w:bottom w:val="single" w:color="auto" w:sz="8" w:space="0"/>
              <w:right w:val="single" w:color="auto" w:sz="8" w:space="0"/>
            </w:tcBorders>
            <w:vAlign w:val="center"/>
          </w:tcPr>
          <w:p w14:paraId="785A0BE4">
            <w:pPr>
              <w:pageBreakBefore w:val="0"/>
              <w:kinsoku/>
              <w:wordWrap/>
              <w:overflowPunct/>
              <w:topLinePunct w:val="0"/>
              <w:bidi w:val="0"/>
              <w:spacing w:after="0" w:line="44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0.45%</w:t>
            </w:r>
          </w:p>
        </w:tc>
        <w:tc>
          <w:tcPr>
            <w:tcW w:w="2160" w:type="dxa"/>
            <w:tcBorders>
              <w:top w:val="single" w:color="auto" w:sz="8" w:space="0"/>
              <w:left w:val="single" w:color="auto" w:sz="8" w:space="0"/>
              <w:bottom w:val="single" w:color="auto" w:sz="8" w:space="0"/>
              <w:right w:val="single" w:color="auto" w:sz="8" w:space="0"/>
            </w:tcBorders>
            <w:vAlign w:val="center"/>
          </w:tcPr>
          <w:p w14:paraId="31871D98">
            <w:pPr>
              <w:pageBreakBefore w:val="0"/>
              <w:kinsoku/>
              <w:wordWrap/>
              <w:overflowPunct/>
              <w:topLinePunct w:val="0"/>
              <w:bidi w:val="0"/>
              <w:spacing w:after="0" w:line="44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0.55%</w:t>
            </w:r>
          </w:p>
        </w:tc>
      </w:tr>
      <w:tr w14:paraId="03464C4C">
        <w:tblPrEx>
          <w:tblCellMar>
            <w:top w:w="0" w:type="dxa"/>
            <w:left w:w="0" w:type="dxa"/>
            <w:bottom w:w="0" w:type="dxa"/>
            <w:right w:w="0" w:type="dxa"/>
          </w:tblCellMar>
        </w:tblPrEx>
        <w:trPr>
          <w:trHeight w:val="340" w:hRule="atLeast"/>
          <w:jc w:val="center"/>
        </w:trPr>
        <w:tc>
          <w:tcPr>
            <w:tcW w:w="2116" w:type="dxa"/>
            <w:tcBorders>
              <w:top w:val="single" w:color="auto" w:sz="8" w:space="0"/>
              <w:left w:val="single" w:color="auto" w:sz="8" w:space="0"/>
              <w:bottom w:val="single" w:color="auto" w:sz="8" w:space="0"/>
              <w:right w:val="single" w:color="auto" w:sz="8" w:space="0"/>
            </w:tcBorders>
            <w:vAlign w:val="center"/>
          </w:tcPr>
          <w:p w14:paraId="054EAB2E">
            <w:pPr>
              <w:pageBreakBefore w:val="0"/>
              <w:kinsoku/>
              <w:wordWrap/>
              <w:overflowPunct/>
              <w:topLinePunct w:val="0"/>
              <w:bidi w:val="0"/>
              <w:spacing w:after="0" w:line="44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l000—5000</w:t>
            </w:r>
          </w:p>
        </w:tc>
        <w:tc>
          <w:tcPr>
            <w:tcW w:w="2024" w:type="dxa"/>
            <w:tcBorders>
              <w:top w:val="single" w:color="auto" w:sz="8" w:space="0"/>
              <w:left w:val="single" w:color="auto" w:sz="8" w:space="0"/>
              <w:bottom w:val="single" w:color="auto" w:sz="8" w:space="0"/>
              <w:right w:val="single" w:color="auto" w:sz="8" w:space="0"/>
            </w:tcBorders>
            <w:vAlign w:val="center"/>
          </w:tcPr>
          <w:p w14:paraId="3609B5FD">
            <w:pPr>
              <w:pageBreakBefore w:val="0"/>
              <w:kinsoku/>
              <w:wordWrap/>
              <w:overflowPunct/>
              <w:topLinePunct w:val="0"/>
              <w:bidi w:val="0"/>
              <w:spacing w:after="0" w:line="44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0.5%</w:t>
            </w:r>
          </w:p>
        </w:tc>
        <w:tc>
          <w:tcPr>
            <w:tcW w:w="1800" w:type="dxa"/>
            <w:tcBorders>
              <w:top w:val="single" w:color="auto" w:sz="8" w:space="0"/>
              <w:left w:val="single" w:color="auto" w:sz="8" w:space="0"/>
              <w:bottom w:val="single" w:color="auto" w:sz="8" w:space="0"/>
              <w:right w:val="single" w:color="auto" w:sz="8" w:space="0"/>
            </w:tcBorders>
            <w:vAlign w:val="center"/>
          </w:tcPr>
          <w:p w14:paraId="2D97802E">
            <w:pPr>
              <w:pageBreakBefore w:val="0"/>
              <w:kinsoku/>
              <w:wordWrap/>
              <w:overflowPunct/>
              <w:topLinePunct w:val="0"/>
              <w:bidi w:val="0"/>
              <w:spacing w:after="0" w:line="44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0.25%</w:t>
            </w:r>
          </w:p>
        </w:tc>
        <w:tc>
          <w:tcPr>
            <w:tcW w:w="2160" w:type="dxa"/>
            <w:tcBorders>
              <w:top w:val="single" w:color="auto" w:sz="8" w:space="0"/>
              <w:left w:val="single" w:color="auto" w:sz="8" w:space="0"/>
              <w:bottom w:val="single" w:color="auto" w:sz="8" w:space="0"/>
              <w:right w:val="single" w:color="auto" w:sz="8" w:space="0"/>
            </w:tcBorders>
            <w:vAlign w:val="center"/>
          </w:tcPr>
          <w:p w14:paraId="281D3350">
            <w:pPr>
              <w:pageBreakBefore w:val="0"/>
              <w:kinsoku/>
              <w:wordWrap/>
              <w:overflowPunct/>
              <w:topLinePunct w:val="0"/>
              <w:bidi w:val="0"/>
              <w:spacing w:after="0" w:line="44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0.35%</w:t>
            </w:r>
          </w:p>
        </w:tc>
      </w:tr>
      <w:tr w14:paraId="550A1947">
        <w:tblPrEx>
          <w:tblCellMar>
            <w:top w:w="0" w:type="dxa"/>
            <w:left w:w="0" w:type="dxa"/>
            <w:bottom w:w="0" w:type="dxa"/>
            <w:right w:w="0" w:type="dxa"/>
          </w:tblCellMar>
        </w:tblPrEx>
        <w:trPr>
          <w:trHeight w:val="340" w:hRule="atLeast"/>
          <w:jc w:val="center"/>
        </w:trPr>
        <w:tc>
          <w:tcPr>
            <w:tcW w:w="2116" w:type="dxa"/>
            <w:tcBorders>
              <w:top w:val="single" w:color="auto" w:sz="8" w:space="0"/>
              <w:left w:val="single" w:color="auto" w:sz="8" w:space="0"/>
              <w:bottom w:val="single" w:color="auto" w:sz="8" w:space="0"/>
              <w:right w:val="single" w:color="auto" w:sz="8" w:space="0"/>
            </w:tcBorders>
            <w:vAlign w:val="center"/>
          </w:tcPr>
          <w:p w14:paraId="3AE9B6FB">
            <w:pPr>
              <w:pageBreakBefore w:val="0"/>
              <w:kinsoku/>
              <w:wordWrap/>
              <w:overflowPunct/>
              <w:topLinePunct w:val="0"/>
              <w:bidi w:val="0"/>
              <w:spacing w:after="0" w:line="44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5000-lOOOO</w:t>
            </w:r>
          </w:p>
        </w:tc>
        <w:tc>
          <w:tcPr>
            <w:tcW w:w="2024" w:type="dxa"/>
            <w:tcBorders>
              <w:top w:val="single" w:color="auto" w:sz="8" w:space="0"/>
              <w:left w:val="single" w:color="auto" w:sz="8" w:space="0"/>
              <w:bottom w:val="single" w:color="auto" w:sz="8" w:space="0"/>
              <w:right w:val="single" w:color="auto" w:sz="8" w:space="0"/>
            </w:tcBorders>
            <w:vAlign w:val="center"/>
          </w:tcPr>
          <w:p w14:paraId="331D9DF1">
            <w:pPr>
              <w:pageBreakBefore w:val="0"/>
              <w:kinsoku/>
              <w:wordWrap/>
              <w:overflowPunct/>
              <w:topLinePunct w:val="0"/>
              <w:bidi w:val="0"/>
              <w:spacing w:after="0" w:line="44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0.25%</w:t>
            </w:r>
          </w:p>
        </w:tc>
        <w:tc>
          <w:tcPr>
            <w:tcW w:w="1800" w:type="dxa"/>
            <w:tcBorders>
              <w:top w:val="single" w:color="auto" w:sz="8" w:space="0"/>
              <w:left w:val="single" w:color="auto" w:sz="8" w:space="0"/>
              <w:bottom w:val="single" w:color="auto" w:sz="8" w:space="0"/>
              <w:right w:val="single" w:color="auto" w:sz="8" w:space="0"/>
            </w:tcBorders>
            <w:vAlign w:val="center"/>
          </w:tcPr>
          <w:p w14:paraId="12410078">
            <w:pPr>
              <w:pageBreakBefore w:val="0"/>
              <w:kinsoku/>
              <w:wordWrap/>
              <w:overflowPunct/>
              <w:topLinePunct w:val="0"/>
              <w:bidi w:val="0"/>
              <w:spacing w:after="0" w:line="44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0.1%</w:t>
            </w:r>
          </w:p>
        </w:tc>
        <w:tc>
          <w:tcPr>
            <w:tcW w:w="2160" w:type="dxa"/>
            <w:tcBorders>
              <w:top w:val="single" w:color="auto" w:sz="8" w:space="0"/>
              <w:left w:val="single" w:color="auto" w:sz="8" w:space="0"/>
              <w:bottom w:val="single" w:color="auto" w:sz="8" w:space="0"/>
              <w:right w:val="single" w:color="auto" w:sz="8" w:space="0"/>
            </w:tcBorders>
            <w:vAlign w:val="center"/>
          </w:tcPr>
          <w:p w14:paraId="62BBADDE">
            <w:pPr>
              <w:pageBreakBefore w:val="0"/>
              <w:kinsoku/>
              <w:wordWrap/>
              <w:overflowPunct/>
              <w:topLinePunct w:val="0"/>
              <w:bidi w:val="0"/>
              <w:spacing w:after="0" w:line="44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0.2%</w:t>
            </w:r>
          </w:p>
        </w:tc>
      </w:tr>
      <w:tr w14:paraId="6973BEAE">
        <w:tblPrEx>
          <w:tblCellMar>
            <w:top w:w="0" w:type="dxa"/>
            <w:left w:w="0" w:type="dxa"/>
            <w:bottom w:w="0" w:type="dxa"/>
            <w:right w:w="0" w:type="dxa"/>
          </w:tblCellMar>
        </w:tblPrEx>
        <w:trPr>
          <w:trHeight w:val="340" w:hRule="atLeast"/>
          <w:jc w:val="center"/>
        </w:trPr>
        <w:tc>
          <w:tcPr>
            <w:tcW w:w="2116" w:type="dxa"/>
            <w:tcBorders>
              <w:top w:val="single" w:color="auto" w:sz="8" w:space="0"/>
              <w:left w:val="single" w:color="auto" w:sz="8" w:space="0"/>
              <w:bottom w:val="single" w:color="auto" w:sz="8" w:space="0"/>
              <w:right w:val="single" w:color="auto" w:sz="8" w:space="0"/>
            </w:tcBorders>
            <w:vAlign w:val="center"/>
          </w:tcPr>
          <w:p w14:paraId="7F78ADC1">
            <w:pPr>
              <w:pageBreakBefore w:val="0"/>
              <w:kinsoku/>
              <w:wordWrap/>
              <w:overflowPunct/>
              <w:topLinePunct w:val="0"/>
              <w:bidi w:val="0"/>
              <w:spacing w:after="0" w:line="44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lOOOO-100000</w:t>
            </w:r>
          </w:p>
        </w:tc>
        <w:tc>
          <w:tcPr>
            <w:tcW w:w="2024" w:type="dxa"/>
            <w:tcBorders>
              <w:top w:val="single" w:color="auto" w:sz="8" w:space="0"/>
              <w:left w:val="single" w:color="auto" w:sz="8" w:space="0"/>
              <w:bottom w:val="single" w:color="auto" w:sz="8" w:space="0"/>
              <w:right w:val="single" w:color="auto" w:sz="8" w:space="0"/>
            </w:tcBorders>
            <w:vAlign w:val="center"/>
          </w:tcPr>
          <w:p w14:paraId="53AEB3B5">
            <w:pPr>
              <w:pageBreakBefore w:val="0"/>
              <w:kinsoku/>
              <w:wordWrap/>
              <w:overflowPunct/>
              <w:topLinePunct w:val="0"/>
              <w:bidi w:val="0"/>
              <w:spacing w:after="0" w:line="44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0.05%</w:t>
            </w:r>
          </w:p>
        </w:tc>
        <w:tc>
          <w:tcPr>
            <w:tcW w:w="1800" w:type="dxa"/>
            <w:tcBorders>
              <w:top w:val="single" w:color="auto" w:sz="8" w:space="0"/>
              <w:left w:val="single" w:color="auto" w:sz="8" w:space="0"/>
              <w:bottom w:val="single" w:color="auto" w:sz="8" w:space="0"/>
              <w:right w:val="single" w:color="auto" w:sz="8" w:space="0"/>
            </w:tcBorders>
            <w:vAlign w:val="center"/>
          </w:tcPr>
          <w:p w14:paraId="7031047D">
            <w:pPr>
              <w:pageBreakBefore w:val="0"/>
              <w:kinsoku/>
              <w:wordWrap/>
              <w:overflowPunct/>
              <w:topLinePunct w:val="0"/>
              <w:bidi w:val="0"/>
              <w:spacing w:after="0" w:line="44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0.05%</w:t>
            </w:r>
          </w:p>
        </w:tc>
        <w:tc>
          <w:tcPr>
            <w:tcW w:w="2160" w:type="dxa"/>
            <w:tcBorders>
              <w:top w:val="single" w:color="auto" w:sz="8" w:space="0"/>
              <w:left w:val="single" w:color="auto" w:sz="8" w:space="0"/>
              <w:bottom w:val="single" w:color="auto" w:sz="8" w:space="0"/>
              <w:right w:val="single" w:color="auto" w:sz="8" w:space="0"/>
            </w:tcBorders>
            <w:vAlign w:val="center"/>
          </w:tcPr>
          <w:p w14:paraId="2386122B">
            <w:pPr>
              <w:pageBreakBefore w:val="0"/>
              <w:kinsoku/>
              <w:wordWrap/>
              <w:overflowPunct/>
              <w:topLinePunct w:val="0"/>
              <w:bidi w:val="0"/>
              <w:spacing w:after="0" w:line="44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0.05%</w:t>
            </w:r>
          </w:p>
        </w:tc>
      </w:tr>
      <w:tr w14:paraId="211FC7C4">
        <w:tblPrEx>
          <w:tblCellMar>
            <w:top w:w="0" w:type="dxa"/>
            <w:left w:w="0" w:type="dxa"/>
            <w:bottom w:w="0" w:type="dxa"/>
            <w:right w:w="0" w:type="dxa"/>
          </w:tblCellMar>
        </w:tblPrEx>
        <w:trPr>
          <w:trHeight w:val="340" w:hRule="atLeast"/>
          <w:jc w:val="center"/>
        </w:trPr>
        <w:tc>
          <w:tcPr>
            <w:tcW w:w="2116" w:type="dxa"/>
            <w:tcBorders>
              <w:top w:val="single" w:color="auto" w:sz="8" w:space="0"/>
              <w:left w:val="single" w:color="auto" w:sz="8" w:space="0"/>
              <w:bottom w:val="single" w:color="auto" w:sz="8" w:space="0"/>
              <w:right w:val="single" w:color="auto" w:sz="8" w:space="0"/>
            </w:tcBorders>
            <w:vAlign w:val="center"/>
          </w:tcPr>
          <w:p w14:paraId="186708DB">
            <w:pPr>
              <w:pageBreakBefore w:val="0"/>
              <w:kinsoku/>
              <w:wordWrap/>
              <w:overflowPunct/>
              <w:topLinePunct w:val="0"/>
              <w:bidi w:val="0"/>
              <w:spacing w:after="0" w:line="44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100000以上</w:t>
            </w:r>
          </w:p>
        </w:tc>
        <w:tc>
          <w:tcPr>
            <w:tcW w:w="2024" w:type="dxa"/>
            <w:tcBorders>
              <w:top w:val="single" w:color="auto" w:sz="8" w:space="0"/>
              <w:left w:val="single" w:color="auto" w:sz="8" w:space="0"/>
              <w:bottom w:val="single" w:color="auto" w:sz="8" w:space="0"/>
              <w:right w:val="single" w:color="auto" w:sz="8" w:space="0"/>
            </w:tcBorders>
            <w:vAlign w:val="center"/>
          </w:tcPr>
          <w:p w14:paraId="43CB85C3">
            <w:pPr>
              <w:pageBreakBefore w:val="0"/>
              <w:kinsoku/>
              <w:wordWrap/>
              <w:overflowPunct/>
              <w:topLinePunct w:val="0"/>
              <w:bidi w:val="0"/>
              <w:spacing w:after="0" w:line="44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0.01%</w:t>
            </w:r>
          </w:p>
        </w:tc>
        <w:tc>
          <w:tcPr>
            <w:tcW w:w="1800" w:type="dxa"/>
            <w:tcBorders>
              <w:top w:val="single" w:color="auto" w:sz="8" w:space="0"/>
              <w:left w:val="single" w:color="auto" w:sz="8" w:space="0"/>
              <w:bottom w:val="single" w:color="auto" w:sz="8" w:space="0"/>
              <w:right w:val="single" w:color="auto" w:sz="8" w:space="0"/>
            </w:tcBorders>
            <w:vAlign w:val="center"/>
          </w:tcPr>
          <w:p w14:paraId="71D75943">
            <w:pPr>
              <w:pageBreakBefore w:val="0"/>
              <w:kinsoku/>
              <w:wordWrap/>
              <w:overflowPunct/>
              <w:topLinePunct w:val="0"/>
              <w:bidi w:val="0"/>
              <w:spacing w:after="0" w:line="44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0.01%</w:t>
            </w:r>
          </w:p>
        </w:tc>
        <w:tc>
          <w:tcPr>
            <w:tcW w:w="2160" w:type="dxa"/>
            <w:tcBorders>
              <w:top w:val="single" w:color="auto" w:sz="8" w:space="0"/>
              <w:left w:val="single" w:color="auto" w:sz="8" w:space="0"/>
              <w:bottom w:val="single" w:color="auto" w:sz="8" w:space="0"/>
              <w:right w:val="single" w:color="auto" w:sz="8" w:space="0"/>
            </w:tcBorders>
            <w:vAlign w:val="center"/>
          </w:tcPr>
          <w:p w14:paraId="6D884DDB">
            <w:pPr>
              <w:pageBreakBefore w:val="0"/>
              <w:kinsoku/>
              <w:wordWrap/>
              <w:overflowPunct/>
              <w:topLinePunct w:val="0"/>
              <w:bidi w:val="0"/>
              <w:spacing w:after="0" w:line="44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0.01%</w:t>
            </w:r>
          </w:p>
        </w:tc>
      </w:tr>
    </w:tbl>
    <w:p w14:paraId="5B3F71C2">
      <w:pPr>
        <w:pageBreakBefore w:val="0"/>
        <w:kinsoku/>
        <w:wordWrap/>
        <w:overflowPunct/>
        <w:topLinePunct w:val="0"/>
        <w:bidi w:val="0"/>
        <w:spacing w:after="0" w:line="440" w:lineRule="exact"/>
        <w:ind w:firstLine="480" w:firstLineChars="200"/>
        <w:rPr>
          <w:rFonts w:ascii="宋体" w:hAnsi="宋体" w:cs="Arial"/>
          <w:color w:val="auto"/>
          <w:sz w:val="24"/>
          <w:szCs w:val="24"/>
          <w:highlight w:val="none"/>
        </w:rPr>
      </w:pPr>
      <w:r>
        <w:rPr>
          <w:rFonts w:hint="eastAsia" w:ascii="宋体" w:hAnsi="宋体" w:cs="Arial"/>
          <w:color w:val="auto"/>
          <w:sz w:val="24"/>
          <w:szCs w:val="24"/>
          <w:highlight w:val="none"/>
        </w:rPr>
        <w:t>注：代理服务收费按差额定率累进法计算。例如：某</w:t>
      </w:r>
      <w:r>
        <w:rPr>
          <w:rFonts w:hint="eastAsia" w:ascii="宋体" w:hAnsi="宋体" w:cs="Arial"/>
          <w:b/>
          <w:color w:val="auto"/>
          <w:sz w:val="24"/>
          <w:szCs w:val="24"/>
          <w:highlight w:val="none"/>
        </w:rPr>
        <w:t>服务</w:t>
      </w:r>
      <w:r>
        <w:rPr>
          <w:rFonts w:hint="eastAsia" w:ascii="宋体" w:hAnsi="宋体" w:cs="Arial"/>
          <w:color w:val="auto"/>
          <w:sz w:val="24"/>
          <w:szCs w:val="24"/>
          <w:highlight w:val="none"/>
        </w:rPr>
        <w:t>采购项目成交金额为600万元，计算代理服务收费金额如下：</w:t>
      </w:r>
    </w:p>
    <w:p w14:paraId="2BFC0B3A">
      <w:pPr>
        <w:pageBreakBefore w:val="0"/>
        <w:kinsoku/>
        <w:wordWrap/>
        <w:overflowPunct/>
        <w:topLinePunct w:val="0"/>
        <w:bidi w:val="0"/>
        <w:spacing w:after="0" w:line="440" w:lineRule="exact"/>
        <w:ind w:firstLine="480" w:firstLineChars="200"/>
        <w:rPr>
          <w:rFonts w:ascii="宋体" w:hAnsi="宋体" w:cs="Arial"/>
          <w:color w:val="auto"/>
          <w:sz w:val="24"/>
          <w:szCs w:val="24"/>
          <w:highlight w:val="none"/>
        </w:rPr>
      </w:pPr>
      <w:r>
        <w:rPr>
          <w:rFonts w:hint="eastAsia" w:ascii="宋体" w:hAnsi="宋体" w:cs="Arial"/>
          <w:color w:val="auto"/>
          <w:sz w:val="24"/>
          <w:szCs w:val="24"/>
          <w:highlight w:val="none"/>
        </w:rPr>
        <w:t>100万元×1.5%=1.5万元</w:t>
      </w:r>
    </w:p>
    <w:p w14:paraId="7F476B2F">
      <w:pPr>
        <w:pageBreakBefore w:val="0"/>
        <w:kinsoku/>
        <w:wordWrap/>
        <w:overflowPunct/>
        <w:topLinePunct w:val="0"/>
        <w:bidi w:val="0"/>
        <w:spacing w:after="0" w:line="440" w:lineRule="exact"/>
        <w:ind w:firstLine="480" w:firstLineChars="200"/>
        <w:rPr>
          <w:rFonts w:ascii="宋体" w:hAnsi="宋体" w:cs="Arial"/>
          <w:color w:val="auto"/>
          <w:sz w:val="24"/>
          <w:szCs w:val="24"/>
          <w:highlight w:val="none"/>
        </w:rPr>
      </w:pPr>
      <w:r>
        <w:rPr>
          <w:rFonts w:hint="eastAsia" w:ascii="宋体" w:hAnsi="宋体" w:cs="Arial"/>
          <w:color w:val="auto"/>
          <w:sz w:val="24"/>
          <w:szCs w:val="24"/>
          <w:highlight w:val="none"/>
        </w:rPr>
        <w:t>(500-100)万元×0.8%=3.2万元</w:t>
      </w:r>
    </w:p>
    <w:p w14:paraId="71E7F656">
      <w:pPr>
        <w:pageBreakBefore w:val="0"/>
        <w:kinsoku/>
        <w:wordWrap/>
        <w:overflowPunct/>
        <w:topLinePunct w:val="0"/>
        <w:bidi w:val="0"/>
        <w:spacing w:after="0" w:line="440" w:lineRule="exact"/>
        <w:ind w:firstLine="480" w:firstLineChars="200"/>
        <w:rPr>
          <w:rFonts w:ascii="宋体" w:hAnsi="宋体" w:cs="Arial"/>
          <w:color w:val="auto"/>
          <w:sz w:val="24"/>
          <w:szCs w:val="24"/>
          <w:highlight w:val="none"/>
        </w:rPr>
      </w:pPr>
      <w:r>
        <w:rPr>
          <w:rFonts w:hint="eastAsia" w:ascii="宋体" w:hAnsi="宋体" w:cs="Arial"/>
          <w:color w:val="auto"/>
          <w:sz w:val="24"/>
          <w:szCs w:val="24"/>
          <w:highlight w:val="none"/>
        </w:rPr>
        <w:t>(600-500)万元×0.45%=0.45万元</w:t>
      </w:r>
    </w:p>
    <w:p w14:paraId="6AE242A4">
      <w:pPr>
        <w:pageBreakBefore w:val="0"/>
        <w:kinsoku/>
        <w:wordWrap/>
        <w:overflowPunct/>
        <w:topLinePunct w:val="0"/>
        <w:bidi w:val="0"/>
        <w:spacing w:after="0" w:line="440" w:lineRule="exact"/>
        <w:ind w:firstLine="480" w:firstLineChars="200"/>
        <w:rPr>
          <w:rFonts w:ascii="宋体" w:hAnsi="宋体" w:cs="Arial"/>
          <w:color w:val="auto"/>
          <w:sz w:val="24"/>
          <w:szCs w:val="24"/>
          <w:highlight w:val="none"/>
        </w:rPr>
      </w:pPr>
      <w:r>
        <w:rPr>
          <w:rFonts w:hint="eastAsia" w:ascii="宋体" w:hAnsi="宋体" w:cs="Arial"/>
          <w:color w:val="auto"/>
          <w:sz w:val="24"/>
          <w:szCs w:val="24"/>
          <w:highlight w:val="none"/>
        </w:rPr>
        <w:t>合计收费=1.5+3.2+0.45=5.15 万元</w:t>
      </w:r>
    </w:p>
    <w:p w14:paraId="05238218">
      <w:pPr>
        <w:pageBreakBefore w:val="0"/>
        <w:widowControl w:val="0"/>
        <w:numPr>
          <w:ilvl w:val="1"/>
          <w:numId w:val="10"/>
        </w:numPr>
        <w:tabs>
          <w:tab w:val="left" w:pos="540"/>
          <w:tab w:val="left" w:pos="840"/>
        </w:tabs>
        <w:kinsoku/>
        <w:wordWrap/>
        <w:overflowPunct/>
        <w:topLinePunct w:val="0"/>
        <w:bidi w:val="0"/>
        <w:adjustRightInd w:val="0"/>
        <w:spacing w:after="0" w:line="440" w:lineRule="exact"/>
        <w:ind w:left="540" w:hanging="540"/>
        <w:jc w:val="both"/>
        <w:outlineLvl w:val="1"/>
        <w:rPr>
          <w:rFonts w:ascii="宋体" w:hAnsi="宋体"/>
          <w:b/>
          <w:color w:val="auto"/>
          <w:sz w:val="24"/>
          <w:szCs w:val="24"/>
          <w:highlight w:val="none"/>
        </w:rPr>
      </w:pPr>
      <w:bookmarkStart w:id="43" w:name="_Toc515822975"/>
      <w:bookmarkStart w:id="44" w:name="_Toc11338"/>
      <w:r>
        <w:rPr>
          <w:rFonts w:hint="eastAsia" w:ascii="宋体" w:hAnsi="宋体"/>
          <w:b/>
          <w:color w:val="auto"/>
          <w:sz w:val="24"/>
          <w:szCs w:val="24"/>
          <w:highlight w:val="none"/>
        </w:rPr>
        <w:t>竞争性磋商采购文件</w:t>
      </w:r>
      <w:bookmarkEnd w:id="43"/>
      <w:bookmarkEnd w:id="44"/>
    </w:p>
    <w:p w14:paraId="3E429794">
      <w:pPr>
        <w:pageBreakBefore w:val="0"/>
        <w:widowControl w:val="0"/>
        <w:numPr>
          <w:ilvl w:val="0"/>
          <w:numId w:val="11"/>
        </w:numPr>
        <w:tabs>
          <w:tab w:val="left" w:pos="360"/>
          <w:tab w:val="left" w:pos="540"/>
          <w:tab w:val="left" w:pos="644"/>
          <w:tab w:val="left" w:pos="4188"/>
          <w:tab w:val="clear" w:pos="2204"/>
        </w:tabs>
        <w:kinsoku/>
        <w:wordWrap/>
        <w:overflowPunct/>
        <w:topLinePunct w:val="0"/>
        <w:bidi w:val="0"/>
        <w:adjustRightInd w:val="0"/>
        <w:spacing w:after="0" w:line="440" w:lineRule="exact"/>
        <w:ind w:left="540" w:hanging="616" w:hangingChars="257"/>
        <w:jc w:val="both"/>
        <w:outlineLvl w:val="1"/>
        <w:rPr>
          <w:rFonts w:ascii="宋体" w:hAnsi="宋体"/>
          <w:color w:val="auto"/>
          <w:sz w:val="24"/>
          <w:szCs w:val="24"/>
          <w:highlight w:val="none"/>
        </w:rPr>
      </w:pPr>
      <w:bookmarkStart w:id="45" w:name="_Toc12941"/>
      <w:bookmarkStart w:id="46" w:name="_Toc11090"/>
      <w:bookmarkStart w:id="47" w:name="_Toc27794"/>
      <w:bookmarkStart w:id="48" w:name="_Toc515822976"/>
      <w:bookmarkStart w:id="49" w:name="_Toc5599"/>
      <w:bookmarkStart w:id="50" w:name="_Toc8965"/>
      <w:r>
        <w:rPr>
          <w:rFonts w:hint="eastAsia" w:ascii="宋体" w:hAnsi="宋体"/>
          <w:color w:val="auto"/>
          <w:sz w:val="24"/>
          <w:szCs w:val="24"/>
          <w:highlight w:val="none"/>
        </w:rPr>
        <w:t>竞争性磋商采购文件（以下</w:t>
      </w:r>
      <w:r>
        <w:rPr>
          <w:rFonts w:ascii="宋体" w:hAnsi="宋体"/>
          <w:color w:val="auto"/>
          <w:sz w:val="24"/>
          <w:szCs w:val="24"/>
          <w:highlight w:val="none"/>
        </w:rPr>
        <w:t>简称“</w:t>
      </w:r>
      <w:r>
        <w:rPr>
          <w:rFonts w:hint="eastAsia" w:ascii="宋体" w:hAnsi="宋体"/>
          <w:color w:val="auto"/>
          <w:sz w:val="24"/>
          <w:szCs w:val="24"/>
          <w:highlight w:val="none"/>
        </w:rPr>
        <w:t>采购文件</w:t>
      </w:r>
      <w:r>
        <w:rPr>
          <w:rFonts w:ascii="宋体" w:hAnsi="宋体"/>
          <w:color w:val="auto"/>
          <w:sz w:val="24"/>
          <w:szCs w:val="24"/>
          <w:highlight w:val="none"/>
        </w:rPr>
        <w:t>”）</w:t>
      </w:r>
      <w:r>
        <w:rPr>
          <w:rFonts w:hint="eastAsia" w:ascii="宋体" w:hAnsi="宋体"/>
          <w:color w:val="auto"/>
          <w:sz w:val="24"/>
          <w:szCs w:val="24"/>
          <w:highlight w:val="none"/>
        </w:rPr>
        <w:t>的构成</w:t>
      </w:r>
      <w:bookmarkEnd w:id="45"/>
      <w:bookmarkEnd w:id="46"/>
      <w:bookmarkEnd w:id="47"/>
      <w:bookmarkEnd w:id="48"/>
      <w:bookmarkEnd w:id="49"/>
      <w:bookmarkEnd w:id="50"/>
    </w:p>
    <w:p w14:paraId="1BBDDFD6">
      <w:pPr>
        <w:pageBreakBefore w:val="0"/>
        <w:widowControl w:val="0"/>
        <w:numPr>
          <w:ilvl w:val="0"/>
          <w:numId w:val="15"/>
        </w:numPr>
        <w:kinsoku/>
        <w:wordWrap/>
        <w:overflowPunct/>
        <w:topLinePunct w:val="0"/>
        <w:bidi w:val="0"/>
        <w:adjustRightInd w:val="0"/>
        <w:spacing w:after="0" w:line="440" w:lineRule="exact"/>
        <w:jc w:val="both"/>
        <w:rPr>
          <w:rFonts w:ascii="宋体" w:hAnsi="宋体"/>
          <w:color w:val="auto"/>
          <w:sz w:val="24"/>
          <w:szCs w:val="24"/>
          <w:highlight w:val="none"/>
        </w:rPr>
      </w:pPr>
      <w:r>
        <w:rPr>
          <w:rFonts w:hint="eastAsia" w:ascii="宋体" w:hAnsi="宋体"/>
          <w:color w:val="auto"/>
          <w:sz w:val="24"/>
          <w:szCs w:val="24"/>
          <w:highlight w:val="none"/>
        </w:rPr>
        <w:t>磋商公告</w:t>
      </w:r>
    </w:p>
    <w:p w14:paraId="5E40CAC4">
      <w:pPr>
        <w:pageBreakBefore w:val="0"/>
        <w:widowControl w:val="0"/>
        <w:numPr>
          <w:ilvl w:val="0"/>
          <w:numId w:val="15"/>
        </w:numPr>
        <w:kinsoku/>
        <w:wordWrap/>
        <w:overflowPunct/>
        <w:topLinePunct w:val="0"/>
        <w:bidi w:val="0"/>
        <w:adjustRightInd w:val="0"/>
        <w:spacing w:after="0" w:line="440" w:lineRule="exact"/>
        <w:jc w:val="both"/>
        <w:rPr>
          <w:rFonts w:ascii="宋体" w:hAnsi="宋体"/>
          <w:color w:val="auto"/>
          <w:sz w:val="24"/>
          <w:szCs w:val="24"/>
          <w:highlight w:val="none"/>
        </w:rPr>
      </w:pPr>
      <w:r>
        <w:rPr>
          <w:rFonts w:hint="eastAsia" w:ascii="宋体" w:hAnsi="宋体"/>
          <w:color w:val="auto"/>
          <w:sz w:val="24"/>
          <w:szCs w:val="24"/>
          <w:highlight w:val="none"/>
        </w:rPr>
        <w:t>供应商须知</w:t>
      </w:r>
    </w:p>
    <w:p w14:paraId="76AF999E">
      <w:pPr>
        <w:pageBreakBefore w:val="0"/>
        <w:widowControl w:val="0"/>
        <w:numPr>
          <w:ilvl w:val="0"/>
          <w:numId w:val="15"/>
        </w:numPr>
        <w:kinsoku/>
        <w:wordWrap/>
        <w:overflowPunct/>
        <w:topLinePunct w:val="0"/>
        <w:bidi w:val="0"/>
        <w:adjustRightInd w:val="0"/>
        <w:spacing w:after="0" w:line="440" w:lineRule="exact"/>
        <w:jc w:val="both"/>
        <w:rPr>
          <w:rFonts w:ascii="宋体" w:hAnsi="宋体"/>
          <w:color w:val="auto"/>
          <w:sz w:val="24"/>
          <w:szCs w:val="24"/>
          <w:highlight w:val="none"/>
        </w:rPr>
      </w:pPr>
      <w:r>
        <w:rPr>
          <w:rFonts w:hint="eastAsia" w:ascii="宋体" w:hAnsi="宋体"/>
          <w:color w:val="auto"/>
          <w:sz w:val="24"/>
          <w:szCs w:val="24"/>
          <w:highlight w:val="none"/>
        </w:rPr>
        <w:t>采购需求</w:t>
      </w:r>
    </w:p>
    <w:p w14:paraId="49A52920">
      <w:pPr>
        <w:pageBreakBefore w:val="0"/>
        <w:widowControl w:val="0"/>
        <w:numPr>
          <w:ilvl w:val="0"/>
          <w:numId w:val="15"/>
        </w:numPr>
        <w:kinsoku/>
        <w:wordWrap/>
        <w:overflowPunct/>
        <w:topLinePunct w:val="0"/>
        <w:bidi w:val="0"/>
        <w:adjustRightInd w:val="0"/>
        <w:spacing w:after="0" w:line="440" w:lineRule="exact"/>
        <w:jc w:val="both"/>
        <w:rPr>
          <w:rFonts w:ascii="宋体" w:hAnsi="宋体"/>
          <w:color w:val="auto"/>
          <w:sz w:val="24"/>
          <w:szCs w:val="24"/>
          <w:highlight w:val="none"/>
        </w:rPr>
      </w:pPr>
      <w:r>
        <w:rPr>
          <w:rFonts w:hint="eastAsia" w:ascii="宋体" w:hAnsi="宋体"/>
          <w:color w:val="auto"/>
          <w:sz w:val="24"/>
          <w:szCs w:val="24"/>
          <w:highlight w:val="none"/>
        </w:rPr>
        <w:t>评审办法及评分标准</w:t>
      </w:r>
    </w:p>
    <w:p w14:paraId="60278BA9">
      <w:pPr>
        <w:pageBreakBefore w:val="0"/>
        <w:widowControl w:val="0"/>
        <w:numPr>
          <w:ilvl w:val="0"/>
          <w:numId w:val="15"/>
        </w:numPr>
        <w:kinsoku/>
        <w:wordWrap/>
        <w:overflowPunct/>
        <w:topLinePunct w:val="0"/>
        <w:bidi w:val="0"/>
        <w:adjustRightInd w:val="0"/>
        <w:spacing w:after="0" w:line="440" w:lineRule="exact"/>
        <w:jc w:val="both"/>
        <w:rPr>
          <w:rFonts w:ascii="宋体" w:hAnsi="宋体"/>
          <w:color w:val="auto"/>
          <w:sz w:val="24"/>
          <w:szCs w:val="24"/>
          <w:highlight w:val="none"/>
        </w:rPr>
      </w:pPr>
      <w:r>
        <w:rPr>
          <w:rFonts w:hint="eastAsia" w:ascii="宋体" w:hAnsi="宋体"/>
          <w:color w:val="auto"/>
          <w:sz w:val="24"/>
          <w:szCs w:val="24"/>
          <w:highlight w:val="none"/>
        </w:rPr>
        <w:t>合同书格式</w:t>
      </w:r>
    </w:p>
    <w:p w14:paraId="6825C6D5">
      <w:pPr>
        <w:pageBreakBefore w:val="0"/>
        <w:widowControl w:val="0"/>
        <w:numPr>
          <w:ilvl w:val="0"/>
          <w:numId w:val="15"/>
        </w:numPr>
        <w:kinsoku/>
        <w:wordWrap/>
        <w:overflowPunct/>
        <w:topLinePunct w:val="0"/>
        <w:bidi w:val="0"/>
        <w:adjustRightInd w:val="0"/>
        <w:spacing w:after="0" w:line="440" w:lineRule="exact"/>
        <w:jc w:val="both"/>
        <w:rPr>
          <w:rFonts w:ascii="宋体" w:hAnsi="宋体"/>
          <w:color w:val="auto"/>
          <w:sz w:val="24"/>
          <w:szCs w:val="24"/>
          <w:highlight w:val="none"/>
        </w:rPr>
      </w:pPr>
      <w:r>
        <w:rPr>
          <w:rFonts w:hint="eastAsia" w:ascii="宋体" w:hAnsi="宋体"/>
          <w:color w:val="auto"/>
          <w:sz w:val="24"/>
          <w:szCs w:val="24"/>
          <w:highlight w:val="none"/>
        </w:rPr>
        <w:t>响应文件格式</w:t>
      </w:r>
    </w:p>
    <w:p w14:paraId="0C49BD90">
      <w:pPr>
        <w:pageBreakBefore w:val="0"/>
        <w:widowControl w:val="0"/>
        <w:numPr>
          <w:ilvl w:val="0"/>
          <w:numId w:val="15"/>
        </w:numPr>
        <w:kinsoku/>
        <w:wordWrap/>
        <w:overflowPunct/>
        <w:topLinePunct w:val="0"/>
        <w:bidi w:val="0"/>
        <w:adjustRightInd w:val="0"/>
        <w:spacing w:after="0" w:line="440" w:lineRule="exact"/>
        <w:jc w:val="both"/>
        <w:rPr>
          <w:rFonts w:ascii="宋体" w:hAnsi="宋体"/>
          <w:color w:val="auto"/>
          <w:sz w:val="24"/>
          <w:szCs w:val="24"/>
          <w:highlight w:val="none"/>
        </w:rPr>
      </w:pPr>
      <w:r>
        <w:rPr>
          <w:rFonts w:hint="eastAsia" w:ascii="宋体" w:hAnsi="宋体"/>
          <w:color w:val="auto"/>
          <w:sz w:val="24"/>
          <w:szCs w:val="24"/>
          <w:highlight w:val="none"/>
        </w:rPr>
        <w:t>采购过程中由采购人、采购代理机构发出的澄清和修改文件（如有）</w:t>
      </w:r>
    </w:p>
    <w:p w14:paraId="03F9EB2C">
      <w:pPr>
        <w:pageBreakBefore w:val="0"/>
        <w:widowControl w:val="0"/>
        <w:numPr>
          <w:ilvl w:val="0"/>
          <w:numId w:val="15"/>
        </w:numPr>
        <w:kinsoku/>
        <w:wordWrap/>
        <w:overflowPunct/>
        <w:topLinePunct w:val="0"/>
        <w:bidi w:val="0"/>
        <w:adjustRightInd w:val="0"/>
        <w:spacing w:after="0" w:line="440" w:lineRule="exact"/>
        <w:jc w:val="both"/>
        <w:rPr>
          <w:rFonts w:ascii="宋体" w:hAnsi="宋体"/>
          <w:color w:val="auto"/>
          <w:sz w:val="24"/>
          <w:szCs w:val="24"/>
          <w:highlight w:val="none"/>
        </w:rPr>
      </w:pPr>
      <w:r>
        <w:rPr>
          <w:rFonts w:hint="eastAsia" w:ascii="宋体" w:hAnsi="宋体"/>
          <w:color w:val="auto"/>
          <w:sz w:val="24"/>
          <w:szCs w:val="24"/>
          <w:highlight w:val="none"/>
        </w:rPr>
        <w:t>评审小组在磋商过程中发出的对采购文件的实质性变动（如有）</w:t>
      </w:r>
    </w:p>
    <w:p w14:paraId="25BFB0C2">
      <w:pPr>
        <w:pageBreakBefore w:val="0"/>
        <w:widowControl w:val="0"/>
        <w:numPr>
          <w:ilvl w:val="0"/>
          <w:numId w:val="11"/>
        </w:numPr>
        <w:tabs>
          <w:tab w:val="left" w:pos="360"/>
          <w:tab w:val="left" w:pos="540"/>
          <w:tab w:val="left" w:pos="644"/>
        </w:tabs>
        <w:kinsoku/>
        <w:wordWrap/>
        <w:overflowPunct/>
        <w:topLinePunct w:val="0"/>
        <w:bidi w:val="0"/>
        <w:adjustRightInd w:val="0"/>
        <w:spacing w:after="0" w:line="440" w:lineRule="exact"/>
        <w:ind w:left="540" w:hanging="616" w:hangingChars="257"/>
        <w:jc w:val="both"/>
        <w:outlineLvl w:val="1"/>
        <w:rPr>
          <w:rFonts w:ascii="宋体" w:hAnsi="宋体" w:cs="宋体"/>
          <w:snapToGrid w:val="0"/>
          <w:color w:val="auto"/>
          <w:sz w:val="24"/>
          <w:szCs w:val="24"/>
          <w:highlight w:val="none"/>
          <w:lang w:val="zh-CN"/>
        </w:rPr>
      </w:pPr>
      <w:bookmarkStart w:id="51" w:name="_Toc7789"/>
      <w:bookmarkStart w:id="52" w:name="_Toc515822977"/>
      <w:bookmarkStart w:id="53" w:name="_Toc15260"/>
      <w:bookmarkStart w:id="54" w:name="_Toc9303"/>
      <w:bookmarkStart w:id="55" w:name="_Toc4846"/>
      <w:bookmarkStart w:id="56" w:name="_Toc13694"/>
      <w:r>
        <w:rPr>
          <w:rFonts w:hint="eastAsia" w:ascii="宋体" w:hAnsi="宋体" w:cs="宋体"/>
          <w:snapToGrid w:val="0"/>
          <w:color w:val="auto"/>
          <w:sz w:val="24"/>
          <w:szCs w:val="24"/>
          <w:highlight w:val="none"/>
          <w:lang w:val="zh-CN"/>
        </w:rPr>
        <w:t>采购文件的澄清</w:t>
      </w:r>
      <w:bookmarkEnd w:id="51"/>
      <w:bookmarkEnd w:id="52"/>
      <w:bookmarkEnd w:id="53"/>
      <w:bookmarkEnd w:id="54"/>
      <w:bookmarkEnd w:id="55"/>
      <w:bookmarkEnd w:id="56"/>
    </w:p>
    <w:p w14:paraId="45ECB7AD">
      <w:pPr>
        <w:pageBreakBefore w:val="0"/>
        <w:widowControl w:val="0"/>
        <w:numPr>
          <w:ilvl w:val="0"/>
          <w:numId w:val="16"/>
        </w:numPr>
        <w:tabs>
          <w:tab w:val="left" w:pos="709"/>
        </w:tabs>
        <w:kinsoku/>
        <w:wordWrap/>
        <w:overflowPunct/>
        <w:topLinePunct w:val="0"/>
        <w:bidi w:val="0"/>
        <w:spacing w:after="0" w:line="440" w:lineRule="exact"/>
        <w:ind w:left="567" w:hanging="567"/>
        <w:contextualSpacing/>
        <w:jc w:val="both"/>
        <w:rPr>
          <w:rFonts w:ascii="宋体" w:hAnsi="宋体" w:cs="宋体"/>
          <w:color w:val="auto"/>
          <w:sz w:val="24"/>
          <w:szCs w:val="24"/>
          <w:highlight w:val="none"/>
        </w:rPr>
      </w:pPr>
      <w:r>
        <w:rPr>
          <w:rFonts w:hint="eastAsia" w:ascii="宋体" w:hAnsi="宋体" w:cs="宋体"/>
          <w:color w:val="auto"/>
          <w:sz w:val="24"/>
          <w:szCs w:val="24"/>
          <w:highlight w:val="none"/>
        </w:rPr>
        <w:t>供应商获取采购文件后</w:t>
      </w:r>
      <w:r>
        <w:rPr>
          <w:rFonts w:hint="eastAsia" w:ascii="宋体" w:hAnsi="宋体" w:cs="宋体"/>
          <w:snapToGrid w:val="0"/>
          <w:color w:val="auto"/>
          <w:sz w:val="24"/>
          <w:szCs w:val="24"/>
          <w:highlight w:val="none"/>
          <w:lang w:val="zh-CN"/>
        </w:rPr>
        <w:t>，应认真检查，如发现无法打开电子版采购文件（zbj</w:t>
      </w:r>
      <w:r>
        <w:rPr>
          <w:rFonts w:ascii="宋体" w:hAnsi="宋体" w:cs="宋体"/>
          <w:snapToGrid w:val="0"/>
          <w:color w:val="auto"/>
          <w:sz w:val="24"/>
          <w:szCs w:val="24"/>
          <w:highlight w:val="none"/>
          <w:lang w:val="zh-CN"/>
        </w:rPr>
        <w:t xml:space="preserve"> </w:t>
      </w:r>
      <w:r>
        <w:rPr>
          <w:rFonts w:hint="eastAsia" w:ascii="宋体" w:hAnsi="宋体" w:cs="宋体"/>
          <w:snapToGrid w:val="0"/>
          <w:color w:val="auto"/>
          <w:sz w:val="24"/>
          <w:szCs w:val="24"/>
          <w:highlight w:val="none"/>
          <w:lang w:val="zh-CN"/>
        </w:rPr>
        <w:t>格式）、页数不全、附件缺失、印刷模糊等，应及时通知采购代理机构补全或更换，否则</w:t>
      </w:r>
      <w:r>
        <w:rPr>
          <w:rFonts w:hint="eastAsia" w:ascii="宋体" w:hAnsi="宋体" w:cs="宋体"/>
          <w:color w:val="auto"/>
          <w:sz w:val="24"/>
          <w:szCs w:val="24"/>
          <w:highlight w:val="none"/>
        </w:rPr>
        <w:t>风险自负。</w:t>
      </w:r>
    </w:p>
    <w:p w14:paraId="254F4057">
      <w:pPr>
        <w:pageBreakBefore w:val="0"/>
        <w:widowControl w:val="0"/>
        <w:numPr>
          <w:ilvl w:val="0"/>
          <w:numId w:val="16"/>
        </w:numPr>
        <w:tabs>
          <w:tab w:val="left" w:pos="709"/>
        </w:tabs>
        <w:kinsoku/>
        <w:wordWrap/>
        <w:overflowPunct/>
        <w:topLinePunct w:val="0"/>
        <w:bidi w:val="0"/>
        <w:spacing w:after="0" w:line="440" w:lineRule="exact"/>
        <w:ind w:left="567" w:hanging="567"/>
        <w:contextualSpacing/>
        <w:jc w:val="both"/>
        <w:rPr>
          <w:rFonts w:ascii="宋体" w:hAnsi="宋体" w:cs="宋体"/>
          <w:color w:val="auto"/>
          <w:sz w:val="24"/>
          <w:szCs w:val="24"/>
          <w:highlight w:val="none"/>
        </w:rPr>
      </w:pPr>
      <w:r>
        <w:rPr>
          <w:rFonts w:hint="eastAsia" w:ascii="宋体" w:hAnsi="宋体" w:cs="宋体"/>
          <w:color w:val="auto"/>
          <w:sz w:val="24"/>
          <w:szCs w:val="24"/>
          <w:highlight w:val="none"/>
        </w:rPr>
        <w:t>供应商有疑问要求采购人或代理机构对采购文件进行澄清的，应以书面形式（包括信函、电报、传真、电子邮件等可以有形地表现所载内容的形式，下同）在提疑截止时间以前向采购人或采购代理机构提出。提疑截止时间见《供应商须知前附表》。</w:t>
      </w:r>
    </w:p>
    <w:p w14:paraId="6C6410EF">
      <w:pPr>
        <w:pageBreakBefore w:val="0"/>
        <w:widowControl w:val="0"/>
        <w:numPr>
          <w:ilvl w:val="0"/>
          <w:numId w:val="16"/>
        </w:numPr>
        <w:tabs>
          <w:tab w:val="left" w:pos="709"/>
        </w:tabs>
        <w:kinsoku/>
        <w:wordWrap/>
        <w:overflowPunct/>
        <w:topLinePunct w:val="0"/>
        <w:bidi w:val="0"/>
        <w:spacing w:after="0" w:line="440" w:lineRule="exact"/>
        <w:ind w:left="567" w:hanging="567"/>
        <w:contextualSpacing/>
        <w:jc w:val="both"/>
        <w:rPr>
          <w:rFonts w:ascii="宋体" w:hAnsi="宋体" w:cs="宋体"/>
          <w:color w:val="auto"/>
          <w:sz w:val="24"/>
          <w:szCs w:val="24"/>
          <w:highlight w:val="none"/>
        </w:rPr>
      </w:pPr>
      <w:r>
        <w:rPr>
          <w:rFonts w:hint="eastAsia" w:ascii="宋体" w:hAnsi="宋体" w:cs="宋体"/>
          <w:snapToGrid w:val="0"/>
          <w:color w:val="auto"/>
          <w:sz w:val="24"/>
          <w:szCs w:val="24"/>
          <w:highlight w:val="none"/>
          <w:lang w:val="zh-CN"/>
        </w:rPr>
        <w:t>对于符</w:t>
      </w:r>
      <w:r>
        <w:rPr>
          <w:rFonts w:hint="eastAsia" w:ascii="宋体" w:hAnsi="宋体" w:cs="宋体"/>
          <w:color w:val="auto"/>
          <w:sz w:val="24"/>
          <w:szCs w:val="24"/>
          <w:highlight w:val="none"/>
        </w:rPr>
        <w:t>合澄清要求的，采购代理机构将视情况以书面形式给所有接收采购文件的供应商予以答复(答复中不包括问题的来源)，采购人、采购代理机构可以视采购项目的具体情况召开磋商前答疑会。</w:t>
      </w:r>
    </w:p>
    <w:p w14:paraId="55EA9E07">
      <w:pPr>
        <w:pageBreakBefore w:val="0"/>
        <w:widowControl w:val="0"/>
        <w:numPr>
          <w:ilvl w:val="0"/>
          <w:numId w:val="16"/>
        </w:numPr>
        <w:tabs>
          <w:tab w:val="left" w:pos="709"/>
        </w:tabs>
        <w:kinsoku/>
        <w:wordWrap/>
        <w:overflowPunct/>
        <w:topLinePunct w:val="0"/>
        <w:bidi w:val="0"/>
        <w:spacing w:after="0" w:line="440" w:lineRule="exact"/>
        <w:ind w:left="567" w:hanging="567"/>
        <w:contextualSpacing/>
        <w:jc w:val="both"/>
        <w:rPr>
          <w:rFonts w:ascii="宋体" w:hAnsi="宋体" w:cs="宋体"/>
          <w:color w:val="auto"/>
          <w:sz w:val="24"/>
          <w:szCs w:val="24"/>
          <w:highlight w:val="none"/>
        </w:rPr>
      </w:pPr>
      <w:r>
        <w:rPr>
          <w:rFonts w:hint="eastAsia" w:ascii="宋体" w:hAnsi="宋体" w:cs="宋体"/>
          <w:color w:val="auto"/>
          <w:sz w:val="24"/>
          <w:szCs w:val="24"/>
          <w:highlight w:val="none"/>
        </w:rPr>
        <w:t>供应商未在规定的时间内对采购文件提出澄清或疑问的，采购代理机构将视其为同意。</w:t>
      </w:r>
    </w:p>
    <w:p w14:paraId="24BD6077">
      <w:pPr>
        <w:pageBreakBefore w:val="0"/>
        <w:widowControl w:val="0"/>
        <w:numPr>
          <w:ilvl w:val="0"/>
          <w:numId w:val="16"/>
        </w:numPr>
        <w:tabs>
          <w:tab w:val="left" w:pos="709"/>
        </w:tabs>
        <w:kinsoku/>
        <w:wordWrap/>
        <w:overflowPunct/>
        <w:topLinePunct w:val="0"/>
        <w:bidi w:val="0"/>
        <w:spacing w:after="0" w:line="440" w:lineRule="exact"/>
        <w:ind w:left="567" w:hanging="567"/>
        <w:contextualSpacing/>
        <w:jc w:val="both"/>
        <w:rPr>
          <w:rFonts w:ascii="宋体" w:hAnsi="宋体" w:cs="宋体"/>
          <w:snapToGrid w:val="0"/>
          <w:color w:val="auto"/>
          <w:sz w:val="24"/>
          <w:szCs w:val="24"/>
          <w:highlight w:val="none"/>
          <w:lang w:val="zh-CN"/>
        </w:rPr>
      </w:pPr>
      <w:r>
        <w:rPr>
          <w:rFonts w:hint="eastAsia" w:ascii="宋体" w:hAnsi="宋体" w:cs="宋体"/>
          <w:color w:val="auto"/>
          <w:sz w:val="24"/>
          <w:szCs w:val="24"/>
          <w:highlight w:val="none"/>
        </w:rPr>
        <w:t>澄清的内容将</w:t>
      </w:r>
      <w:r>
        <w:rPr>
          <w:rFonts w:hint="eastAsia" w:ascii="宋体" w:hAnsi="宋体" w:cs="宋体"/>
          <w:snapToGrid w:val="0"/>
          <w:color w:val="auto"/>
          <w:sz w:val="24"/>
          <w:szCs w:val="24"/>
          <w:highlight w:val="none"/>
          <w:lang w:val="zh-CN"/>
        </w:rPr>
        <w:t>作为采购文件的组成部分，当采购文件、澄清文件对同一内容的表述不一致时，以最后发出的书面文件为准。</w:t>
      </w:r>
    </w:p>
    <w:p w14:paraId="102A7A9E">
      <w:pPr>
        <w:pageBreakBefore w:val="0"/>
        <w:widowControl w:val="0"/>
        <w:numPr>
          <w:ilvl w:val="0"/>
          <w:numId w:val="11"/>
        </w:numPr>
        <w:tabs>
          <w:tab w:val="left" w:pos="360"/>
          <w:tab w:val="left" w:pos="540"/>
          <w:tab w:val="left" w:pos="644"/>
        </w:tabs>
        <w:kinsoku/>
        <w:wordWrap/>
        <w:overflowPunct/>
        <w:topLinePunct w:val="0"/>
        <w:bidi w:val="0"/>
        <w:adjustRightInd w:val="0"/>
        <w:spacing w:after="0" w:line="440" w:lineRule="exact"/>
        <w:ind w:left="540" w:hanging="616" w:hangingChars="257"/>
        <w:jc w:val="both"/>
        <w:outlineLvl w:val="1"/>
        <w:rPr>
          <w:rFonts w:ascii="宋体" w:hAnsi="宋体" w:cs="宋体"/>
          <w:snapToGrid w:val="0"/>
          <w:color w:val="auto"/>
          <w:sz w:val="24"/>
          <w:szCs w:val="24"/>
          <w:highlight w:val="none"/>
          <w:lang w:val="zh-CN"/>
        </w:rPr>
      </w:pPr>
      <w:bookmarkStart w:id="57" w:name="_Toc12398"/>
      <w:bookmarkStart w:id="58" w:name="_Toc15537"/>
      <w:bookmarkStart w:id="59" w:name="_Toc21791"/>
      <w:bookmarkStart w:id="60" w:name="_Toc515822978"/>
      <w:bookmarkStart w:id="61" w:name="_Toc10204"/>
      <w:bookmarkStart w:id="62" w:name="_Toc15576"/>
      <w:r>
        <w:rPr>
          <w:rFonts w:hint="eastAsia" w:ascii="宋体" w:hAnsi="宋体" w:cs="宋体"/>
          <w:snapToGrid w:val="0"/>
          <w:color w:val="auto"/>
          <w:sz w:val="24"/>
          <w:szCs w:val="24"/>
          <w:highlight w:val="none"/>
          <w:lang w:val="zh-CN"/>
        </w:rPr>
        <w:t>采购文件的修改</w:t>
      </w:r>
      <w:bookmarkEnd w:id="57"/>
      <w:bookmarkEnd w:id="58"/>
      <w:bookmarkEnd w:id="59"/>
      <w:bookmarkEnd w:id="60"/>
      <w:bookmarkEnd w:id="61"/>
      <w:bookmarkEnd w:id="62"/>
    </w:p>
    <w:p w14:paraId="48AEBA84">
      <w:pPr>
        <w:pageBreakBefore w:val="0"/>
        <w:widowControl w:val="0"/>
        <w:numPr>
          <w:ilvl w:val="0"/>
          <w:numId w:val="17"/>
        </w:numPr>
        <w:tabs>
          <w:tab w:val="left" w:pos="709"/>
        </w:tabs>
        <w:kinsoku/>
        <w:wordWrap/>
        <w:overflowPunct/>
        <w:topLinePunct w:val="0"/>
        <w:bidi w:val="0"/>
        <w:spacing w:after="0" w:line="440" w:lineRule="exact"/>
        <w:ind w:left="567" w:hanging="567"/>
        <w:contextualSpacing/>
        <w:jc w:val="both"/>
        <w:rPr>
          <w:rFonts w:ascii="宋体" w:hAnsi="宋体" w:cs="宋体"/>
          <w:color w:val="auto"/>
          <w:sz w:val="24"/>
          <w:szCs w:val="24"/>
          <w:highlight w:val="none"/>
        </w:rPr>
      </w:pPr>
      <w:r>
        <w:rPr>
          <w:rFonts w:hint="eastAsia" w:ascii="宋体" w:hAnsi="宋体" w:cs="宋体"/>
          <w:color w:val="auto"/>
          <w:sz w:val="24"/>
          <w:szCs w:val="24"/>
          <w:highlight w:val="none"/>
        </w:rPr>
        <w:t>提交首次响应文件截止之日前</w:t>
      </w:r>
      <w:r>
        <w:rPr>
          <w:rFonts w:hint="eastAsia" w:ascii="宋体" w:hAnsi="宋体" w:cs="宋体"/>
          <w:snapToGrid w:val="0"/>
          <w:color w:val="auto"/>
          <w:sz w:val="24"/>
          <w:szCs w:val="24"/>
          <w:highlight w:val="none"/>
          <w:lang w:val="zh-CN"/>
        </w:rPr>
        <w:t>，采购人、采购代理机构可以在其认为必要时对已发出采购文件或澄清进行必要的澄清或者修改，澄清、修改的内容构成采购文件的组成部分。澄清、</w:t>
      </w:r>
      <w:r>
        <w:rPr>
          <w:rFonts w:hint="eastAsia" w:ascii="宋体" w:hAnsi="宋体" w:cs="宋体"/>
          <w:color w:val="auto"/>
          <w:sz w:val="24"/>
          <w:szCs w:val="24"/>
          <w:highlight w:val="none"/>
        </w:rPr>
        <w:t>修改将由采购代理机构以书面形式通知所有接受采购文件的供应商</w:t>
      </w:r>
      <w:r>
        <w:rPr>
          <w:rFonts w:hint="eastAsia" w:ascii="宋体" w:hAnsi="宋体" w:cs="宋体"/>
          <w:snapToGrid w:val="0"/>
          <w:color w:val="auto"/>
          <w:sz w:val="24"/>
          <w:szCs w:val="24"/>
          <w:highlight w:val="none"/>
          <w:lang w:val="zh-CN"/>
        </w:rPr>
        <w:t>，供应商在收到上</w:t>
      </w:r>
      <w:r>
        <w:rPr>
          <w:rFonts w:hint="eastAsia" w:ascii="宋体" w:hAnsi="宋体" w:cs="宋体"/>
          <w:color w:val="auto"/>
          <w:sz w:val="24"/>
          <w:szCs w:val="24"/>
          <w:highlight w:val="none"/>
        </w:rPr>
        <w:t>述通知后，应在24小时内以书面形式向采购代理机构予以确认。</w:t>
      </w:r>
    </w:p>
    <w:p w14:paraId="72363FDA">
      <w:pPr>
        <w:pageBreakBefore w:val="0"/>
        <w:widowControl w:val="0"/>
        <w:numPr>
          <w:ilvl w:val="0"/>
          <w:numId w:val="17"/>
        </w:numPr>
        <w:tabs>
          <w:tab w:val="left" w:pos="709"/>
        </w:tabs>
        <w:kinsoku/>
        <w:wordWrap/>
        <w:overflowPunct/>
        <w:topLinePunct w:val="0"/>
        <w:bidi w:val="0"/>
        <w:spacing w:after="0" w:line="440" w:lineRule="exact"/>
        <w:ind w:left="567" w:hanging="567"/>
        <w:contextualSpacing/>
        <w:jc w:val="both"/>
        <w:rPr>
          <w:rFonts w:ascii="宋体" w:hAnsi="宋体" w:cs="宋体"/>
          <w:color w:val="auto"/>
          <w:sz w:val="24"/>
          <w:szCs w:val="24"/>
          <w:highlight w:val="none"/>
        </w:rPr>
      </w:pPr>
      <w:r>
        <w:rPr>
          <w:rFonts w:hint="eastAsia" w:ascii="宋体" w:hAnsi="宋体" w:cs="宋体"/>
          <w:color w:val="auto"/>
          <w:sz w:val="24"/>
          <w:szCs w:val="24"/>
          <w:highlight w:val="none"/>
        </w:rPr>
        <w:t>当采购文件和澄清、修改文件对同一内容的表述不一致时，以最后发出的书面文件为准。</w:t>
      </w:r>
    </w:p>
    <w:p w14:paraId="263C8F99">
      <w:pPr>
        <w:pageBreakBefore w:val="0"/>
        <w:widowControl w:val="0"/>
        <w:numPr>
          <w:ilvl w:val="0"/>
          <w:numId w:val="17"/>
        </w:numPr>
        <w:tabs>
          <w:tab w:val="left" w:pos="709"/>
        </w:tabs>
        <w:kinsoku/>
        <w:wordWrap/>
        <w:overflowPunct/>
        <w:topLinePunct w:val="0"/>
        <w:bidi w:val="0"/>
        <w:spacing w:after="0" w:line="440" w:lineRule="exact"/>
        <w:ind w:left="567" w:hanging="567"/>
        <w:contextualSpacing/>
        <w:jc w:val="both"/>
        <w:rPr>
          <w:rFonts w:ascii="宋体" w:hAnsi="宋体" w:cs="宋体"/>
          <w:snapToGrid w:val="0"/>
          <w:color w:val="auto"/>
          <w:sz w:val="24"/>
          <w:szCs w:val="24"/>
          <w:highlight w:val="none"/>
          <w:lang w:val="zh-CN"/>
        </w:rPr>
      </w:pPr>
      <w:r>
        <w:rPr>
          <w:rFonts w:hint="eastAsia" w:ascii="宋体" w:hAnsi="宋体" w:cs="宋体"/>
          <w:color w:val="auto"/>
          <w:sz w:val="24"/>
          <w:szCs w:val="24"/>
          <w:highlight w:val="none"/>
        </w:rPr>
        <w:t>澄清、修改的内容可能影响响应文件编制的，澄清、修改文件应当在提交首次响应文件截止之日5日前</w:t>
      </w:r>
      <w:r>
        <w:rPr>
          <w:rFonts w:hint="eastAsia" w:ascii="宋体" w:hAnsi="宋体" w:cs="宋体"/>
          <w:snapToGrid w:val="0"/>
          <w:color w:val="auto"/>
          <w:sz w:val="24"/>
          <w:szCs w:val="24"/>
          <w:highlight w:val="none"/>
          <w:lang w:val="zh-CN"/>
        </w:rPr>
        <w:t>发出，不足5日的，采购人、采购代理机构将顺延提交首次响应文件截止之日。</w:t>
      </w:r>
    </w:p>
    <w:p w14:paraId="7C5DAEBB">
      <w:pPr>
        <w:pageBreakBefore w:val="0"/>
        <w:widowControl w:val="0"/>
        <w:numPr>
          <w:ilvl w:val="0"/>
          <w:numId w:val="11"/>
        </w:numPr>
        <w:tabs>
          <w:tab w:val="left" w:pos="360"/>
          <w:tab w:val="left" w:pos="540"/>
          <w:tab w:val="left" w:pos="644"/>
        </w:tabs>
        <w:kinsoku/>
        <w:wordWrap/>
        <w:overflowPunct/>
        <w:topLinePunct w:val="0"/>
        <w:bidi w:val="0"/>
        <w:adjustRightInd w:val="0"/>
        <w:spacing w:after="0" w:line="440" w:lineRule="exact"/>
        <w:ind w:left="540" w:hanging="616" w:hangingChars="257"/>
        <w:jc w:val="both"/>
        <w:outlineLvl w:val="1"/>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现场考察</w:t>
      </w:r>
    </w:p>
    <w:p w14:paraId="31052715">
      <w:pPr>
        <w:pageBreakBefore w:val="0"/>
        <w:widowControl w:val="0"/>
        <w:numPr>
          <w:ilvl w:val="0"/>
          <w:numId w:val="18"/>
        </w:numPr>
        <w:tabs>
          <w:tab w:val="left" w:pos="709"/>
        </w:tabs>
        <w:kinsoku/>
        <w:wordWrap/>
        <w:overflowPunct/>
        <w:topLinePunct w:val="0"/>
        <w:bidi w:val="0"/>
        <w:spacing w:after="0" w:line="440" w:lineRule="exact"/>
        <w:ind w:left="567" w:hanging="567"/>
        <w:contextualSpacing/>
        <w:jc w:val="both"/>
        <w:rPr>
          <w:rFonts w:ascii="宋体" w:hAnsi="宋体" w:cs="宋体"/>
          <w:color w:val="auto"/>
          <w:sz w:val="24"/>
          <w:szCs w:val="24"/>
          <w:highlight w:val="none"/>
        </w:rPr>
      </w:pPr>
      <w:r>
        <w:rPr>
          <w:rFonts w:hint="eastAsia" w:ascii="宋体" w:hAnsi="宋体" w:cs="宋体"/>
          <w:snapToGrid w:val="0"/>
          <w:color w:val="auto"/>
          <w:sz w:val="24"/>
          <w:szCs w:val="24"/>
          <w:highlight w:val="none"/>
          <w:lang w:val="zh-CN"/>
        </w:rPr>
        <w:t>采购文件规定组织考察现场的，采购代理机构将按《供应商须知前附表》规定的时间、地点组织供应商考察项目现场</w:t>
      </w:r>
      <w:r>
        <w:rPr>
          <w:rFonts w:hint="eastAsia" w:ascii="宋体" w:hAnsi="宋体" w:cs="宋体"/>
          <w:color w:val="auto"/>
          <w:sz w:val="24"/>
          <w:szCs w:val="24"/>
          <w:highlight w:val="none"/>
        </w:rPr>
        <w:t>。</w:t>
      </w:r>
    </w:p>
    <w:p w14:paraId="2DB920E1">
      <w:pPr>
        <w:pageBreakBefore w:val="0"/>
        <w:widowControl w:val="0"/>
        <w:numPr>
          <w:ilvl w:val="0"/>
          <w:numId w:val="18"/>
        </w:numPr>
        <w:tabs>
          <w:tab w:val="left" w:pos="709"/>
        </w:tabs>
        <w:kinsoku/>
        <w:wordWrap/>
        <w:overflowPunct/>
        <w:topLinePunct w:val="0"/>
        <w:bidi w:val="0"/>
        <w:spacing w:after="0" w:line="440" w:lineRule="exact"/>
        <w:ind w:left="567" w:hanging="567"/>
        <w:contextualSpacing/>
        <w:jc w:val="both"/>
        <w:rPr>
          <w:rFonts w:ascii="宋体" w:hAnsi="宋体" w:cs="宋体"/>
          <w:color w:val="auto"/>
          <w:sz w:val="24"/>
          <w:szCs w:val="24"/>
          <w:highlight w:val="none"/>
        </w:rPr>
      </w:pPr>
      <w:r>
        <w:rPr>
          <w:rFonts w:hint="eastAsia" w:ascii="宋体" w:hAnsi="宋体" w:cs="宋体"/>
          <w:color w:val="auto"/>
          <w:sz w:val="24"/>
          <w:szCs w:val="24"/>
          <w:highlight w:val="none"/>
        </w:rPr>
        <w:t>供应商考察现场发生的费用自理。</w:t>
      </w:r>
    </w:p>
    <w:p w14:paraId="322F1FD2">
      <w:pPr>
        <w:pageBreakBefore w:val="0"/>
        <w:widowControl w:val="0"/>
        <w:numPr>
          <w:ilvl w:val="0"/>
          <w:numId w:val="18"/>
        </w:numPr>
        <w:tabs>
          <w:tab w:val="left" w:pos="709"/>
        </w:tabs>
        <w:kinsoku/>
        <w:wordWrap/>
        <w:overflowPunct/>
        <w:topLinePunct w:val="0"/>
        <w:bidi w:val="0"/>
        <w:spacing w:after="0" w:line="440" w:lineRule="exact"/>
        <w:ind w:left="567" w:hanging="567"/>
        <w:contextualSpacing/>
        <w:jc w:val="both"/>
        <w:rPr>
          <w:rFonts w:ascii="宋体" w:hAnsi="宋体" w:cs="宋体"/>
          <w:color w:val="auto"/>
          <w:sz w:val="24"/>
          <w:szCs w:val="24"/>
          <w:highlight w:val="none"/>
        </w:rPr>
      </w:pPr>
      <w:r>
        <w:rPr>
          <w:rFonts w:hint="eastAsia" w:ascii="宋体" w:hAnsi="宋体" w:cs="宋体"/>
          <w:color w:val="auto"/>
          <w:sz w:val="24"/>
          <w:szCs w:val="24"/>
          <w:highlight w:val="none"/>
        </w:rPr>
        <w:t>除采购人和采购代理机构的原因外，供应商自行负责在考察现场中所发生的人员伤亡和财产损失。</w:t>
      </w:r>
    </w:p>
    <w:p w14:paraId="54E48B16">
      <w:pPr>
        <w:pageBreakBefore w:val="0"/>
        <w:widowControl w:val="0"/>
        <w:numPr>
          <w:ilvl w:val="0"/>
          <w:numId w:val="18"/>
        </w:numPr>
        <w:tabs>
          <w:tab w:val="left" w:pos="709"/>
        </w:tabs>
        <w:kinsoku/>
        <w:wordWrap/>
        <w:overflowPunct/>
        <w:topLinePunct w:val="0"/>
        <w:bidi w:val="0"/>
        <w:spacing w:after="0" w:line="440" w:lineRule="exact"/>
        <w:ind w:left="567" w:hanging="567"/>
        <w:contextualSpacing/>
        <w:jc w:val="both"/>
        <w:rPr>
          <w:rFonts w:ascii="宋体" w:hAnsi="宋体" w:cs="宋体"/>
          <w:snapToGrid w:val="0"/>
          <w:color w:val="auto"/>
          <w:sz w:val="24"/>
          <w:szCs w:val="24"/>
          <w:highlight w:val="none"/>
          <w:lang w:val="zh-CN"/>
        </w:rPr>
      </w:pPr>
      <w:r>
        <w:rPr>
          <w:rFonts w:hint="eastAsia" w:ascii="宋体" w:hAnsi="宋体" w:cs="宋体"/>
          <w:color w:val="auto"/>
          <w:sz w:val="24"/>
          <w:szCs w:val="24"/>
          <w:highlight w:val="none"/>
        </w:rPr>
        <w:t>采购人在考察</w:t>
      </w:r>
      <w:r>
        <w:rPr>
          <w:rFonts w:hint="eastAsia" w:ascii="宋体" w:hAnsi="宋体" w:cs="宋体"/>
          <w:snapToGrid w:val="0"/>
          <w:color w:val="auto"/>
          <w:sz w:val="24"/>
          <w:szCs w:val="24"/>
          <w:highlight w:val="none"/>
          <w:lang w:val="zh-CN"/>
        </w:rPr>
        <w:t>现场中介绍的项目场地和相关的周边环境情况，供应商在编制响应文件时参考，采购人和采购代理机构不对供应商据此作出的判断和决策负责。</w:t>
      </w:r>
    </w:p>
    <w:p w14:paraId="5EB8B5FD">
      <w:pPr>
        <w:pageBreakBefore w:val="0"/>
        <w:widowControl w:val="0"/>
        <w:numPr>
          <w:ilvl w:val="1"/>
          <w:numId w:val="10"/>
        </w:numPr>
        <w:tabs>
          <w:tab w:val="left" w:pos="540"/>
          <w:tab w:val="left" w:pos="840"/>
        </w:tabs>
        <w:kinsoku/>
        <w:wordWrap/>
        <w:overflowPunct/>
        <w:topLinePunct w:val="0"/>
        <w:bidi w:val="0"/>
        <w:adjustRightInd w:val="0"/>
        <w:spacing w:after="0" w:line="440" w:lineRule="exact"/>
        <w:ind w:left="540" w:hanging="540"/>
        <w:jc w:val="both"/>
        <w:outlineLvl w:val="1"/>
        <w:rPr>
          <w:rFonts w:ascii="宋体" w:hAnsi="宋体" w:cs="宋体"/>
          <w:b/>
          <w:color w:val="auto"/>
          <w:sz w:val="24"/>
          <w:szCs w:val="24"/>
          <w:highlight w:val="none"/>
        </w:rPr>
      </w:pPr>
      <w:r>
        <w:rPr>
          <w:rFonts w:hint="eastAsia" w:ascii="宋体" w:hAnsi="宋体" w:cs="宋体"/>
          <w:b/>
          <w:color w:val="auto"/>
          <w:sz w:val="24"/>
          <w:szCs w:val="24"/>
          <w:highlight w:val="none"/>
        </w:rPr>
        <w:t>响应文件</w:t>
      </w:r>
    </w:p>
    <w:p w14:paraId="6F2A936F">
      <w:pPr>
        <w:pageBreakBefore w:val="0"/>
        <w:widowControl w:val="0"/>
        <w:numPr>
          <w:ilvl w:val="0"/>
          <w:numId w:val="11"/>
        </w:numPr>
        <w:tabs>
          <w:tab w:val="left" w:pos="360"/>
          <w:tab w:val="left" w:pos="540"/>
          <w:tab w:val="left" w:pos="644"/>
        </w:tabs>
        <w:kinsoku/>
        <w:wordWrap/>
        <w:overflowPunct/>
        <w:topLinePunct w:val="0"/>
        <w:bidi w:val="0"/>
        <w:adjustRightInd w:val="0"/>
        <w:spacing w:after="0" w:line="440" w:lineRule="exact"/>
        <w:ind w:left="540" w:hanging="616" w:hangingChars="257"/>
        <w:jc w:val="both"/>
        <w:outlineLvl w:val="1"/>
        <w:rPr>
          <w:rFonts w:ascii="宋体" w:hAnsi="宋体" w:cs="宋体"/>
          <w:snapToGrid w:val="0"/>
          <w:color w:val="auto"/>
          <w:sz w:val="24"/>
          <w:szCs w:val="24"/>
          <w:highlight w:val="none"/>
          <w:lang w:val="zh-CN"/>
        </w:rPr>
      </w:pPr>
      <w:bookmarkStart w:id="63" w:name="_Toc8668"/>
      <w:bookmarkStart w:id="64" w:name="_Toc6883"/>
      <w:bookmarkStart w:id="65" w:name="_Toc515822983"/>
      <w:bookmarkStart w:id="66" w:name="_Toc25210"/>
      <w:bookmarkStart w:id="67" w:name="_Toc14196"/>
      <w:bookmarkStart w:id="68" w:name="_Toc28185"/>
      <w:r>
        <w:rPr>
          <w:rFonts w:hint="eastAsia" w:ascii="宋体" w:hAnsi="宋体" w:cs="宋体"/>
          <w:snapToGrid w:val="0"/>
          <w:color w:val="auto"/>
          <w:sz w:val="24"/>
          <w:szCs w:val="24"/>
          <w:highlight w:val="none"/>
          <w:lang w:val="zh-CN"/>
        </w:rPr>
        <w:t xml:space="preserve">  竞争性</w:t>
      </w:r>
      <w:r>
        <w:rPr>
          <w:rFonts w:ascii="宋体" w:hAnsi="宋体" w:cs="宋体"/>
          <w:snapToGrid w:val="0"/>
          <w:color w:val="auto"/>
          <w:sz w:val="24"/>
          <w:szCs w:val="24"/>
          <w:highlight w:val="none"/>
          <w:lang w:val="zh-CN"/>
        </w:rPr>
        <w:t>磋商响应文件</w:t>
      </w:r>
      <w:r>
        <w:rPr>
          <w:rFonts w:hint="eastAsia" w:ascii="宋体" w:hAnsi="宋体" w:cs="宋体"/>
          <w:snapToGrid w:val="0"/>
          <w:color w:val="auto"/>
          <w:sz w:val="24"/>
          <w:szCs w:val="24"/>
          <w:highlight w:val="none"/>
          <w:lang w:val="zh-CN"/>
        </w:rPr>
        <w:t>（以下</w:t>
      </w:r>
      <w:r>
        <w:rPr>
          <w:rFonts w:ascii="宋体" w:hAnsi="宋体" w:cs="宋体"/>
          <w:snapToGrid w:val="0"/>
          <w:color w:val="auto"/>
          <w:sz w:val="24"/>
          <w:szCs w:val="24"/>
          <w:highlight w:val="none"/>
          <w:lang w:val="zh-CN"/>
        </w:rPr>
        <w:t>简称“</w:t>
      </w:r>
      <w:r>
        <w:rPr>
          <w:rFonts w:hint="eastAsia" w:ascii="宋体" w:hAnsi="宋体" w:cs="宋体"/>
          <w:snapToGrid w:val="0"/>
          <w:color w:val="auto"/>
          <w:sz w:val="24"/>
          <w:szCs w:val="24"/>
          <w:highlight w:val="none"/>
          <w:lang w:val="zh-CN"/>
        </w:rPr>
        <w:t>响应文件</w:t>
      </w:r>
      <w:r>
        <w:rPr>
          <w:rFonts w:ascii="宋体" w:hAnsi="宋体" w:cs="宋体"/>
          <w:snapToGrid w:val="0"/>
          <w:color w:val="auto"/>
          <w:sz w:val="24"/>
          <w:szCs w:val="24"/>
          <w:highlight w:val="none"/>
          <w:lang w:val="zh-CN"/>
        </w:rPr>
        <w:t>”）</w:t>
      </w:r>
      <w:r>
        <w:rPr>
          <w:rFonts w:hint="eastAsia" w:ascii="宋体" w:hAnsi="宋体" w:cs="宋体"/>
          <w:snapToGrid w:val="0"/>
          <w:color w:val="auto"/>
          <w:sz w:val="24"/>
          <w:szCs w:val="24"/>
          <w:highlight w:val="none"/>
          <w:lang w:val="zh-CN"/>
        </w:rPr>
        <w:t>是指：供应商根据采购文件要求编制的包含价格、商务、技术和服务及供应商认为其他必须提交的资料等所有内容的文件。</w:t>
      </w:r>
    </w:p>
    <w:p w14:paraId="4F66F213">
      <w:pPr>
        <w:pageBreakBefore w:val="0"/>
        <w:widowControl w:val="0"/>
        <w:numPr>
          <w:ilvl w:val="0"/>
          <w:numId w:val="11"/>
        </w:numPr>
        <w:tabs>
          <w:tab w:val="left" w:pos="360"/>
          <w:tab w:val="left" w:pos="540"/>
          <w:tab w:val="left" w:pos="644"/>
        </w:tabs>
        <w:kinsoku/>
        <w:wordWrap/>
        <w:overflowPunct/>
        <w:topLinePunct w:val="0"/>
        <w:bidi w:val="0"/>
        <w:adjustRightInd w:val="0"/>
        <w:spacing w:after="0" w:line="440" w:lineRule="exact"/>
        <w:ind w:left="540" w:hanging="616" w:hangingChars="257"/>
        <w:jc w:val="both"/>
        <w:outlineLvl w:val="1"/>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响应文件内容及参考格式详见第六章“响应文件格式”。</w:t>
      </w:r>
    </w:p>
    <w:p w14:paraId="3B619A58">
      <w:pPr>
        <w:pageBreakBefore w:val="0"/>
        <w:widowControl w:val="0"/>
        <w:numPr>
          <w:ilvl w:val="0"/>
          <w:numId w:val="11"/>
        </w:numPr>
        <w:tabs>
          <w:tab w:val="left" w:pos="360"/>
          <w:tab w:val="left" w:pos="540"/>
          <w:tab w:val="left" w:pos="644"/>
        </w:tabs>
        <w:kinsoku/>
        <w:wordWrap/>
        <w:overflowPunct/>
        <w:topLinePunct w:val="0"/>
        <w:bidi w:val="0"/>
        <w:adjustRightInd w:val="0"/>
        <w:spacing w:after="0" w:line="440" w:lineRule="exact"/>
        <w:ind w:left="540" w:hanging="616" w:hangingChars="257"/>
        <w:jc w:val="both"/>
        <w:outlineLvl w:val="1"/>
        <w:rPr>
          <w:rFonts w:ascii="宋体" w:hAnsi="宋体" w:cs="宋体"/>
          <w:snapToGrid w:val="0"/>
          <w:color w:val="auto"/>
          <w:sz w:val="24"/>
          <w:szCs w:val="24"/>
          <w:highlight w:val="none"/>
          <w:lang w:val="zh-CN"/>
        </w:rPr>
      </w:pPr>
      <w:bookmarkStart w:id="69" w:name="_Toc30611"/>
      <w:bookmarkStart w:id="70" w:name="_Toc1603"/>
      <w:bookmarkStart w:id="71" w:name="_Toc6812"/>
      <w:bookmarkStart w:id="72" w:name="_Toc515822982"/>
      <w:bookmarkStart w:id="73" w:name="_Toc16830"/>
      <w:bookmarkStart w:id="74" w:name="_Toc23412"/>
      <w:r>
        <w:rPr>
          <w:rFonts w:hint="eastAsia" w:ascii="宋体" w:hAnsi="宋体" w:cs="宋体"/>
          <w:snapToGrid w:val="0"/>
          <w:color w:val="auto"/>
          <w:sz w:val="24"/>
          <w:szCs w:val="24"/>
          <w:highlight w:val="none"/>
          <w:lang w:val="zh-CN"/>
        </w:rPr>
        <w:t>响应文件的编制</w:t>
      </w:r>
      <w:bookmarkEnd w:id="69"/>
      <w:bookmarkEnd w:id="70"/>
      <w:bookmarkEnd w:id="71"/>
      <w:bookmarkEnd w:id="72"/>
      <w:bookmarkEnd w:id="73"/>
      <w:bookmarkEnd w:id="74"/>
    </w:p>
    <w:p w14:paraId="2A6AFAD6">
      <w:pPr>
        <w:pageBreakBefore w:val="0"/>
        <w:widowControl w:val="0"/>
        <w:numPr>
          <w:ilvl w:val="0"/>
          <w:numId w:val="19"/>
        </w:numPr>
        <w:tabs>
          <w:tab w:val="left" w:pos="709"/>
        </w:tabs>
        <w:kinsoku/>
        <w:wordWrap/>
        <w:overflowPunct/>
        <w:topLinePunct w:val="0"/>
        <w:bidi w:val="0"/>
        <w:spacing w:after="0" w:line="440" w:lineRule="exact"/>
        <w:ind w:left="567" w:hanging="567"/>
        <w:contextualSpacing/>
        <w:jc w:val="both"/>
        <w:rPr>
          <w:rFonts w:ascii="宋体" w:hAnsi="宋体" w:cs="宋体"/>
          <w:snapToGrid w:val="0"/>
          <w:color w:val="auto"/>
          <w:sz w:val="24"/>
          <w:szCs w:val="24"/>
          <w:highlight w:val="none"/>
          <w:lang w:val="zh-CN"/>
        </w:rPr>
      </w:pPr>
      <w:bookmarkStart w:id="75" w:name="_Toc14769"/>
      <w:bookmarkStart w:id="76" w:name="_Toc7212"/>
      <w:bookmarkStart w:id="77" w:name="_Toc2682"/>
      <w:bookmarkStart w:id="78" w:name="_Toc12660"/>
      <w:bookmarkStart w:id="79" w:name="_Toc515822980"/>
      <w:bookmarkStart w:id="80" w:name="_Toc20143"/>
      <w:r>
        <w:rPr>
          <w:rFonts w:hint="eastAsia" w:ascii="宋体" w:hAnsi="宋体" w:cs="宋体"/>
          <w:color w:val="auto"/>
          <w:sz w:val="24"/>
          <w:szCs w:val="24"/>
          <w:highlight w:val="none"/>
        </w:rPr>
        <w:t>语言和计量单位</w:t>
      </w:r>
      <w:bookmarkEnd w:id="75"/>
      <w:bookmarkEnd w:id="76"/>
      <w:bookmarkEnd w:id="77"/>
      <w:bookmarkEnd w:id="78"/>
      <w:bookmarkEnd w:id="79"/>
      <w:bookmarkEnd w:id="80"/>
    </w:p>
    <w:p w14:paraId="6525A78D">
      <w:pPr>
        <w:pageBreakBefore w:val="0"/>
        <w:widowControl w:val="0"/>
        <w:numPr>
          <w:ilvl w:val="0"/>
          <w:numId w:val="20"/>
        </w:numPr>
        <w:tabs>
          <w:tab w:val="left" w:pos="709"/>
        </w:tabs>
        <w:kinsoku/>
        <w:wordWrap/>
        <w:overflowPunct/>
        <w:topLinePunct w:val="0"/>
        <w:bidi w:val="0"/>
        <w:adjustRightInd w:val="0"/>
        <w:spacing w:after="0" w:line="440" w:lineRule="exact"/>
        <w:ind w:left="567" w:hanging="283"/>
        <w:contextualSpacing/>
        <w:jc w:val="both"/>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供应商提交的响应文件以及供应商与采购人或采购代理机构就有关采购项目的所有来往函电均应使用中文。供应商提交的支持文件或印刷文献可以用另一种语言，但相应内容应附有中文翻译本，在解释响应文件时以中文翻译本为准。</w:t>
      </w:r>
    </w:p>
    <w:p w14:paraId="7099B4D2">
      <w:pPr>
        <w:pageBreakBefore w:val="0"/>
        <w:widowControl w:val="0"/>
        <w:numPr>
          <w:ilvl w:val="0"/>
          <w:numId w:val="20"/>
        </w:numPr>
        <w:tabs>
          <w:tab w:val="left" w:pos="709"/>
        </w:tabs>
        <w:kinsoku/>
        <w:wordWrap/>
        <w:overflowPunct/>
        <w:topLinePunct w:val="0"/>
        <w:bidi w:val="0"/>
        <w:adjustRightInd w:val="0"/>
        <w:spacing w:after="0" w:line="440" w:lineRule="exact"/>
        <w:ind w:left="567" w:hanging="283"/>
        <w:contextualSpacing/>
        <w:jc w:val="both"/>
        <w:rPr>
          <w:rFonts w:ascii="宋体" w:hAnsi="宋体"/>
          <w:color w:val="auto"/>
          <w:sz w:val="24"/>
          <w:szCs w:val="24"/>
          <w:highlight w:val="none"/>
          <w:lang w:val="zh-CN"/>
        </w:rPr>
      </w:pPr>
      <w:r>
        <w:rPr>
          <w:rFonts w:hint="eastAsia" w:ascii="宋体" w:hAnsi="宋体" w:cs="宋体"/>
          <w:snapToGrid w:val="0"/>
          <w:color w:val="auto"/>
          <w:sz w:val="24"/>
          <w:szCs w:val="24"/>
          <w:highlight w:val="none"/>
          <w:lang w:val="zh-CN"/>
        </w:rPr>
        <w:t>除非采购文件中另有规定，计量单位均应采用中华人民共和国法定的计量单位。</w:t>
      </w:r>
    </w:p>
    <w:p w14:paraId="53BACC02">
      <w:pPr>
        <w:pageBreakBefore w:val="0"/>
        <w:widowControl w:val="0"/>
        <w:numPr>
          <w:ilvl w:val="0"/>
          <w:numId w:val="19"/>
        </w:numPr>
        <w:tabs>
          <w:tab w:val="left" w:pos="709"/>
        </w:tabs>
        <w:kinsoku/>
        <w:wordWrap/>
        <w:overflowPunct/>
        <w:topLinePunct w:val="0"/>
        <w:bidi w:val="0"/>
        <w:spacing w:after="0" w:line="440" w:lineRule="exact"/>
        <w:ind w:left="567" w:hanging="567"/>
        <w:contextualSpacing/>
        <w:jc w:val="both"/>
        <w:rPr>
          <w:rFonts w:ascii="宋体" w:hAnsi="宋体" w:cs="宋体"/>
          <w:color w:val="auto"/>
          <w:sz w:val="24"/>
          <w:szCs w:val="24"/>
          <w:highlight w:val="none"/>
        </w:rPr>
      </w:pPr>
      <w:r>
        <w:rPr>
          <w:rFonts w:hint="eastAsia" w:ascii="宋体" w:hAnsi="宋体" w:cs="宋体"/>
          <w:color w:val="auto"/>
          <w:sz w:val="24"/>
          <w:szCs w:val="24"/>
          <w:highlight w:val="none"/>
        </w:rPr>
        <w:t>供应商应当按照采购文件的全部要求（包括所有的澄清、修改及附件）编制响应文件，并对所提交的响应文件及全部资料的真实性、合法性承担法律责任，并接受采购人</w:t>
      </w:r>
      <w:r>
        <w:rPr>
          <w:rFonts w:ascii="宋体" w:hAnsi="宋体" w:cs="宋体"/>
          <w:color w:val="auto"/>
          <w:sz w:val="24"/>
          <w:szCs w:val="24"/>
          <w:highlight w:val="none"/>
        </w:rPr>
        <w:t>或</w:t>
      </w:r>
      <w:r>
        <w:rPr>
          <w:rFonts w:hint="eastAsia" w:ascii="宋体" w:hAnsi="宋体" w:cs="宋体"/>
          <w:color w:val="auto"/>
          <w:sz w:val="24"/>
          <w:szCs w:val="24"/>
          <w:highlight w:val="none"/>
        </w:rPr>
        <w:t>采购代理机构对其中任何资料进一步核实的要求。</w:t>
      </w:r>
    </w:p>
    <w:p w14:paraId="40313BF9">
      <w:pPr>
        <w:pageBreakBefore w:val="0"/>
        <w:widowControl w:val="0"/>
        <w:numPr>
          <w:ilvl w:val="0"/>
          <w:numId w:val="19"/>
        </w:numPr>
        <w:tabs>
          <w:tab w:val="left" w:pos="709"/>
        </w:tabs>
        <w:kinsoku/>
        <w:wordWrap/>
        <w:overflowPunct/>
        <w:topLinePunct w:val="0"/>
        <w:bidi w:val="0"/>
        <w:spacing w:after="0" w:line="440" w:lineRule="exact"/>
        <w:ind w:left="567" w:hanging="567"/>
        <w:contextualSpacing/>
        <w:jc w:val="both"/>
        <w:rPr>
          <w:rFonts w:ascii="宋体" w:hAnsi="宋体" w:cs="宋体"/>
          <w:color w:val="auto"/>
          <w:sz w:val="24"/>
          <w:szCs w:val="24"/>
          <w:highlight w:val="none"/>
        </w:rPr>
      </w:pPr>
      <w:r>
        <w:rPr>
          <w:rFonts w:hint="eastAsia" w:ascii="宋体" w:hAnsi="宋体" w:cs="宋体"/>
          <w:color w:val="auto"/>
          <w:sz w:val="24"/>
          <w:szCs w:val="24"/>
          <w:highlight w:val="none"/>
        </w:rPr>
        <w:t>供应商应认真阅读并充分理解采购文件的全部内容（包括所有的澄清、修改和补充文件），并对采购文件提出的条件和要求作出明确响应。如因供应商只填写和提供了采购文件要求的部分内容和附件，而给评审造成困难，其可能导致的结果和责任由供应商自行承担。</w:t>
      </w:r>
    </w:p>
    <w:p w14:paraId="3BD691BB">
      <w:pPr>
        <w:pageBreakBefore w:val="0"/>
        <w:widowControl w:val="0"/>
        <w:numPr>
          <w:ilvl w:val="0"/>
          <w:numId w:val="19"/>
        </w:numPr>
        <w:tabs>
          <w:tab w:val="left" w:pos="709"/>
        </w:tabs>
        <w:kinsoku/>
        <w:wordWrap/>
        <w:overflowPunct/>
        <w:topLinePunct w:val="0"/>
        <w:bidi w:val="0"/>
        <w:spacing w:after="0" w:line="440" w:lineRule="exact"/>
        <w:ind w:left="567" w:hanging="567"/>
        <w:contextualSpacing/>
        <w:jc w:val="both"/>
        <w:rPr>
          <w:rFonts w:ascii="宋体" w:hAnsi="宋体" w:cs="宋体"/>
          <w:color w:val="auto"/>
          <w:sz w:val="24"/>
          <w:szCs w:val="24"/>
          <w:highlight w:val="none"/>
        </w:rPr>
      </w:pPr>
      <w:r>
        <w:rPr>
          <w:rFonts w:hint="eastAsia" w:ascii="宋体" w:hAnsi="宋体" w:cs="宋体"/>
          <w:color w:val="auto"/>
          <w:sz w:val="24"/>
          <w:szCs w:val="24"/>
          <w:highlight w:val="none"/>
        </w:rPr>
        <w:t>供应商应完整地按采购文件的要求提交所有资料，并按要求的格式填写规定的所有内容，无相应内容可填项的，应填写“无”、“未测试”、“没有相应指标”等明确的回答文字。如采购文件未规定格式的，相关格式由供应商自定。</w:t>
      </w:r>
    </w:p>
    <w:p w14:paraId="31A17758">
      <w:pPr>
        <w:pageBreakBefore w:val="0"/>
        <w:widowControl w:val="0"/>
        <w:numPr>
          <w:ilvl w:val="0"/>
          <w:numId w:val="19"/>
        </w:numPr>
        <w:tabs>
          <w:tab w:val="left" w:pos="709"/>
        </w:tabs>
        <w:kinsoku/>
        <w:wordWrap/>
        <w:overflowPunct/>
        <w:topLinePunct w:val="0"/>
        <w:bidi w:val="0"/>
        <w:spacing w:after="0" w:line="440" w:lineRule="exact"/>
        <w:ind w:left="567" w:hanging="567"/>
        <w:contextualSpacing/>
        <w:jc w:val="both"/>
        <w:rPr>
          <w:rFonts w:ascii="宋体" w:hAnsi="宋体" w:cs="宋体"/>
          <w:color w:val="auto"/>
          <w:sz w:val="24"/>
          <w:szCs w:val="24"/>
          <w:highlight w:val="none"/>
        </w:rPr>
      </w:pPr>
      <w:r>
        <w:rPr>
          <w:rFonts w:hint="eastAsia" w:ascii="宋体" w:hAnsi="宋体" w:cs="宋体"/>
          <w:color w:val="auto"/>
          <w:sz w:val="24"/>
          <w:szCs w:val="24"/>
          <w:highlight w:val="none"/>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1A6C3E97">
      <w:pPr>
        <w:pageBreakBefore w:val="0"/>
        <w:widowControl w:val="0"/>
        <w:numPr>
          <w:ilvl w:val="0"/>
          <w:numId w:val="19"/>
        </w:numPr>
        <w:tabs>
          <w:tab w:val="left" w:pos="709"/>
        </w:tabs>
        <w:kinsoku/>
        <w:wordWrap/>
        <w:overflowPunct/>
        <w:topLinePunct w:val="0"/>
        <w:bidi w:val="0"/>
        <w:spacing w:after="0" w:line="440" w:lineRule="exact"/>
        <w:ind w:hanging="567"/>
        <w:contextualSpacing/>
        <w:jc w:val="both"/>
        <w:rPr>
          <w:rFonts w:ascii="宋体" w:hAnsi="宋体" w:cs="宋体"/>
          <w:snapToGrid w:val="0"/>
          <w:color w:val="auto"/>
          <w:sz w:val="24"/>
          <w:szCs w:val="24"/>
          <w:highlight w:val="none"/>
          <w:lang w:val="zh-CN"/>
        </w:rPr>
      </w:pPr>
      <w:r>
        <w:rPr>
          <w:rFonts w:hint="eastAsia" w:ascii="宋体" w:hAnsi="宋体" w:cs="宋体"/>
          <w:color w:val="auto"/>
          <w:sz w:val="24"/>
          <w:szCs w:val="24"/>
          <w:highlight w:val="none"/>
        </w:rPr>
        <w:t>供应商在编制响应文件时应注意本项目对多标段采购的规定</w:t>
      </w:r>
      <w:r>
        <w:rPr>
          <w:rFonts w:hint="eastAsia" w:ascii="宋体" w:hAnsi="宋体" w:cs="宋体"/>
          <w:snapToGrid w:val="0"/>
          <w:color w:val="auto"/>
          <w:sz w:val="24"/>
          <w:szCs w:val="24"/>
          <w:highlight w:val="none"/>
          <w:lang w:val="zh-CN"/>
        </w:rPr>
        <w:t>，供应商拟参与多个标段响应的，其响应文件应按每标段要求分别编制、装订和封装，并注明对应标段编号。</w:t>
      </w:r>
      <w:r>
        <w:rPr>
          <w:rFonts w:ascii="宋体" w:hAnsi="宋体" w:cs="宋体"/>
          <w:snapToGrid w:val="0"/>
          <w:color w:val="auto"/>
          <w:sz w:val="24"/>
          <w:szCs w:val="24"/>
          <w:highlight w:val="none"/>
          <w:lang w:val="zh-CN"/>
        </w:rPr>
        <w:t>相关要求</w:t>
      </w:r>
      <w:r>
        <w:rPr>
          <w:rFonts w:hint="eastAsia" w:ascii="宋体" w:hAnsi="宋体" w:cs="宋体"/>
          <w:snapToGrid w:val="0"/>
          <w:color w:val="auto"/>
          <w:sz w:val="24"/>
          <w:szCs w:val="24"/>
          <w:highlight w:val="none"/>
          <w:lang w:val="zh-CN"/>
        </w:rPr>
        <w:t>详见《供应商须知前附表》。</w:t>
      </w:r>
    </w:p>
    <w:p w14:paraId="45A9F59B">
      <w:pPr>
        <w:pageBreakBefore w:val="0"/>
        <w:widowControl w:val="0"/>
        <w:numPr>
          <w:ilvl w:val="0"/>
          <w:numId w:val="11"/>
        </w:numPr>
        <w:tabs>
          <w:tab w:val="left" w:pos="360"/>
          <w:tab w:val="left" w:pos="540"/>
          <w:tab w:val="left" w:pos="644"/>
        </w:tabs>
        <w:kinsoku/>
        <w:wordWrap/>
        <w:overflowPunct/>
        <w:topLinePunct w:val="0"/>
        <w:bidi w:val="0"/>
        <w:adjustRightInd w:val="0"/>
        <w:spacing w:after="0" w:line="440" w:lineRule="exact"/>
        <w:ind w:left="540" w:hanging="616" w:hangingChars="257"/>
        <w:jc w:val="both"/>
        <w:outlineLvl w:val="1"/>
        <w:rPr>
          <w:rFonts w:ascii="宋体" w:hAnsi="宋体" w:cs="宋体"/>
          <w:b/>
          <w:snapToGrid w:val="0"/>
          <w:color w:val="auto"/>
          <w:sz w:val="24"/>
          <w:szCs w:val="24"/>
          <w:highlight w:val="none"/>
          <w:lang w:val="zh-CN"/>
        </w:rPr>
      </w:pPr>
      <w:r>
        <w:rPr>
          <w:rFonts w:hint="eastAsia" w:ascii="宋体" w:hAnsi="宋体" w:cs="宋体"/>
          <w:snapToGrid w:val="0"/>
          <w:color w:val="auto"/>
          <w:sz w:val="24"/>
          <w:szCs w:val="24"/>
          <w:highlight w:val="none"/>
          <w:lang w:val="zh-CN"/>
        </w:rPr>
        <w:t>报价</w:t>
      </w:r>
      <w:bookmarkEnd w:id="63"/>
      <w:bookmarkEnd w:id="64"/>
      <w:bookmarkEnd w:id="65"/>
      <w:bookmarkEnd w:id="66"/>
      <w:bookmarkEnd w:id="67"/>
      <w:bookmarkEnd w:id="68"/>
    </w:p>
    <w:p w14:paraId="2440117A">
      <w:pPr>
        <w:pageBreakBefore w:val="0"/>
        <w:numPr>
          <w:ilvl w:val="1"/>
          <w:numId w:val="21"/>
        </w:numPr>
        <w:tabs>
          <w:tab w:val="left" w:pos="540"/>
        </w:tabs>
        <w:kinsoku/>
        <w:wordWrap/>
        <w:overflowPunct/>
        <w:topLinePunct w:val="0"/>
        <w:autoSpaceDE w:val="0"/>
        <w:autoSpaceDN w:val="0"/>
        <w:bidi w:val="0"/>
        <w:adjustRightInd w:val="0"/>
        <w:spacing w:after="0" w:line="440" w:lineRule="exact"/>
        <w:ind w:hanging="465"/>
        <w:rPr>
          <w:rFonts w:ascii="宋体" w:hAnsi="宋体" w:cs="宋体"/>
          <w:snapToGrid w:val="0"/>
          <w:color w:val="auto"/>
          <w:sz w:val="24"/>
          <w:szCs w:val="24"/>
          <w:highlight w:val="none"/>
          <w:lang w:val="zh-CN"/>
        </w:rPr>
      </w:pPr>
      <w:bookmarkStart w:id="81" w:name="_Toc27926"/>
      <w:bookmarkStart w:id="82" w:name="_Toc515822984"/>
      <w:bookmarkStart w:id="83" w:name="_Toc24354"/>
      <w:bookmarkStart w:id="84" w:name="_Toc3154"/>
      <w:bookmarkStart w:id="85" w:name="_Toc11648"/>
      <w:bookmarkStart w:id="86" w:name="_Toc31523"/>
      <w:r>
        <w:rPr>
          <w:rFonts w:hint="eastAsia" w:ascii="宋体" w:hAnsi="宋体" w:cs="宋体"/>
          <w:snapToGrid w:val="0"/>
          <w:color w:val="auto"/>
          <w:sz w:val="24"/>
          <w:szCs w:val="24"/>
          <w:highlight w:val="none"/>
          <w:lang w:val="zh-CN"/>
        </w:rPr>
        <w:t>报价包括供应商首次提交响应文件中的报价、磋商过程中的报价和最后报价。除采购文件另有规定外，供应商的报价均应以人民币作为货币单位。</w:t>
      </w:r>
    </w:p>
    <w:p w14:paraId="48EB4AD0">
      <w:pPr>
        <w:pageBreakBefore w:val="0"/>
        <w:numPr>
          <w:ilvl w:val="1"/>
          <w:numId w:val="21"/>
        </w:numPr>
        <w:tabs>
          <w:tab w:val="left" w:pos="540"/>
        </w:tabs>
        <w:kinsoku/>
        <w:wordWrap/>
        <w:overflowPunct/>
        <w:topLinePunct w:val="0"/>
        <w:autoSpaceDE w:val="0"/>
        <w:autoSpaceDN w:val="0"/>
        <w:bidi w:val="0"/>
        <w:adjustRightInd w:val="0"/>
        <w:spacing w:after="0" w:line="440" w:lineRule="exact"/>
        <w:ind w:hanging="465"/>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本采购项目预算金额详见第一章磋商公告。供应商的报价不得超过该预算金额，否则</w:t>
      </w:r>
      <w:r>
        <w:rPr>
          <w:rFonts w:hint="eastAsia" w:ascii="宋体" w:hAnsi="宋体" w:cs="宋体"/>
          <w:b/>
          <w:snapToGrid w:val="0"/>
          <w:color w:val="auto"/>
          <w:sz w:val="24"/>
          <w:szCs w:val="24"/>
          <w:highlight w:val="none"/>
          <w:lang w:val="zh-CN"/>
        </w:rPr>
        <w:t>按无效响应处理</w:t>
      </w:r>
      <w:r>
        <w:rPr>
          <w:rFonts w:hint="eastAsia" w:ascii="宋体" w:hAnsi="宋体" w:cs="宋体"/>
          <w:snapToGrid w:val="0"/>
          <w:color w:val="auto"/>
          <w:sz w:val="24"/>
          <w:szCs w:val="24"/>
          <w:highlight w:val="none"/>
          <w:lang w:val="zh-CN"/>
        </w:rPr>
        <w:t>。报价应包含完成采购文件采购需求全部内容的所有费用，所有根据采购文件或其它原因应由供应商支付的税款和其他应交纳的费用都应包括在报价中，但供应商不得以低于其成本的价格进行报价。</w:t>
      </w:r>
    </w:p>
    <w:p w14:paraId="05A1F112">
      <w:pPr>
        <w:pageBreakBefore w:val="0"/>
        <w:numPr>
          <w:ilvl w:val="1"/>
          <w:numId w:val="21"/>
        </w:numPr>
        <w:tabs>
          <w:tab w:val="left" w:pos="540"/>
        </w:tabs>
        <w:kinsoku/>
        <w:wordWrap/>
        <w:overflowPunct/>
        <w:topLinePunct w:val="0"/>
        <w:autoSpaceDE w:val="0"/>
        <w:autoSpaceDN w:val="0"/>
        <w:bidi w:val="0"/>
        <w:adjustRightInd w:val="0"/>
        <w:spacing w:after="0" w:line="440" w:lineRule="exact"/>
        <w:ind w:hanging="465"/>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供应商应按照采购文件规定的采购需求及合同条款进行报价，并按采购文件规定的格式报出</w:t>
      </w:r>
      <w:r>
        <w:rPr>
          <w:rFonts w:hint="eastAsia" w:ascii="宋体" w:hAnsi="宋体"/>
          <w:color w:val="auto"/>
          <w:sz w:val="24"/>
          <w:szCs w:val="24"/>
          <w:highlight w:val="none"/>
          <w:lang w:val="zh-CN"/>
        </w:rPr>
        <w:t>。</w:t>
      </w:r>
      <w:r>
        <w:rPr>
          <w:rFonts w:hint="eastAsia" w:ascii="宋体" w:hAnsi="宋体" w:cs="宋体"/>
          <w:snapToGrid w:val="0"/>
          <w:color w:val="auto"/>
          <w:sz w:val="24"/>
          <w:szCs w:val="24"/>
          <w:highlight w:val="none"/>
          <w:lang w:val="zh-CN"/>
        </w:rPr>
        <w:t>报价中不得包含采购文件要求以外的内容，否则在评审时不予核减。</w:t>
      </w:r>
      <w:r>
        <w:rPr>
          <w:rFonts w:hint="eastAsia" w:ascii="宋体" w:hAnsi="宋体" w:cs="宋体"/>
          <w:b/>
          <w:snapToGrid w:val="0"/>
          <w:color w:val="auto"/>
          <w:sz w:val="24"/>
          <w:szCs w:val="24"/>
          <w:highlight w:val="none"/>
          <w:lang w:val="zh-CN"/>
        </w:rPr>
        <w:t>报价中</w:t>
      </w:r>
      <w:r>
        <w:rPr>
          <w:rFonts w:hint="eastAsia" w:ascii="宋体" w:hAnsi="宋体"/>
          <w:b/>
          <w:color w:val="auto"/>
          <w:sz w:val="24"/>
          <w:szCs w:val="24"/>
          <w:highlight w:val="none"/>
          <w:lang w:val="zh-CN"/>
        </w:rPr>
        <w:t>不得缺、漏项或只报其中的部分内容，</w:t>
      </w:r>
      <w:r>
        <w:rPr>
          <w:rFonts w:hint="eastAsia" w:ascii="宋体" w:hAnsi="宋体" w:cs="宋体"/>
          <w:b/>
          <w:snapToGrid w:val="0"/>
          <w:color w:val="auto"/>
          <w:sz w:val="24"/>
          <w:szCs w:val="24"/>
          <w:highlight w:val="none"/>
          <w:lang w:val="zh-CN"/>
        </w:rPr>
        <w:t>否则按无效响应处理</w:t>
      </w:r>
      <w:r>
        <w:rPr>
          <w:rFonts w:hint="eastAsia" w:ascii="宋体" w:hAnsi="宋体" w:cs="宋体"/>
          <w:snapToGrid w:val="0"/>
          <w:color w:val="auto"/>
          <w:sz w:val="24"/>
          <w:szCs w:val="24"/>
          <w:highlight w:val="none"/>
          <w:lang w:val="zh-CN"/>
        </w:rPr>
        <w:t>。</w:t>
      </w:r>
    </w:p>
    <w:p w14:paraId="30A9FB68">
      <w:pPr>
        <w:pageBreakBefore w:val="0"/>
        <w:numPr>
          <w:ilvl w:val="1"/>
          <w:numId w:val="21"/>
        </w:numPr>
        <w:tabs>
          <w:tab w:val="left" w:pos="540"/>
        </w:tabs>
        <w:kinsoku/>
        <w:wordWrap/>
        <w:overflowPunct/>
        <w:topLinePunct w:val="0"/>
        <w:autoSpaceDE w:val="0"/>
        <w:autoSpaceDN w:val="0"/>
        <w:bidi w:val="0"/>
        <w:adjustRightInd w:val="0"/>
        <w:spacing w:after="0" w:line="440" w:lineRule="exact"/>
        <w:ind w:hanging="465"/>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对于采购文件中未列明、而供应商认为必需的费用也需列入报价。在合同实施时，采购人将不予支付成交供应商响应文件没有列入的项目费用，并认为此项目的费用已包括在报价中。</w:t>
      </w:r>
    </w:p>
    <w:p w14:paraId="041EA3A5">
      <w:pPr>
        <w:pageBreakBefore w:val="0"/>
        <w:numPr>
          <w:ilvl w:val="1"/>
          <w:numId w:val="21"/>
        </w:numPr>
        <w:tabs>
          <w:tab w:val="left" w:pos="540"/>
        </w:tabs>
        <w:kinsoku/>
        <w:wordWrap/>
        <w:overflowPunct/>
        <w:topLinePunct w:val="0"/>
        <w:autoSpaceDE w:val="0"/>
        <w:autoSpaceDN w:val="0"/>
        <w:bidi w:val="0"/>
        <w:adjustRightInd w:val="0"/>
        <w:spacing w:after="0" w:line="440" w:lineRule="exact"/>
        <w:ind w:hanging="465"/>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每一种规格的</w:t>
      </w:r>
      <w:r>
        <w:rPr>
          <w:rFonts w:hint="eastAsia" w:ascii="宋体" w:hAnsi="宋体"/>
          <w:color w:val="auto"/>
          <w:sz w:val="24"/>
          <w:szCs w:val="24"/>
          <w:highlight w:val="none"/>
          <w:lang w:val="zh-CN"/>
        </w:rPr>
        <w:t>服务（货物或工程）</w:t>
      </w:r>
      <w:r>
        <w:rPr>
          <w:rFonts w:hint="eastAsia" w:ascii="宋体" w:hAnsi="宋体" w:cs="宋体"/>
          <w:b/>
          <w:snapToGrid w:val="0"/>
          <w:color w:val="auto"/>
          <w:sz w:val="24"/>
          <w:szCs w:val="24"/>
          <w:highlight w:val="none"/>
          <w:lang w:val="zh-CN"/>
        </w:rPr>
        <w:t>只允许有一个报价，否则其响应文件将被视为无效文件</w:t>
      </w:r>
      <w:r>
        <w:rPr>
          <w:rFonts w:hint="eastAsia" w:ascii="宋体" w:hAnsi="宋体" w:cs="宋体"/>
          <w:snapToGrid w:val="0"/>
          <w:color w:val="auto"/>
          <w:sz w:val="24"/>
          <w:szCs w:val="24"/>
          <w:highlight w:val="none"/>
          <w:lang w:val="zh-CN"/>
        </w:rPr>
        <w:t>。</w:t>
      </w:r>
    </w:p>
    <w:p w14:paraId="2678A2C5">
      <w:pPr>
        <w:pageBreakBefore w:val="0"/>
        <w:numPr>
          <w:ilvl w:val="1"/>
          <w:numId w:val="21"/>
        </w:numPr>
        <w:tabs>
          <w:tab w:val="left" w:pos="540"/>
        </w:tabs>
        <w:kinsoku/>
        <w:wordWrap/>
        <w:overflowPunct/>
        <w:topLinePunct w:val="0"/>
        <w:autoSpaceDE w:val="0"/>
        <w:autoSpaceDN w:val="0"/>
        <w:bidi w:val="0"/>
        <w:adjustRightInd w:val="0"/>
        <w:spacing w:after="0" w:line="440" w:lineRule="exact"/>
        <w:ind w:hanging="465"/>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供应商的报价在合同执行过程中是固定不变的，不得以任何理由予以变更。故供应商应根据采购文件的规定和要求、市场价格水平及其走势、供应商的管理水平、供应商的方案和由这些因素决定的供应商之于本项目的成本水平等提出自己的报价。</w:t>
      </w:r>
      <w:r>
        <w:rPr>
          <w:rFonts w:hint="eastAsia" w:ascii="宋体" w:hAnsi="宋体"/>
          <w:color w:val="auto"/>
          <w:sz w:val="24"/>
          <w:szCs w:val="24"/>
          <w:highlight w:val="none"/>
          <w:lang w:val="zh-CN"/>
        </w:rPr>
        <w:t>对在合同实施过程中可能发生的其它费用（如：增加耗材、材料涨价、人工、后期维护、技术支持、运输成本增加等因素），采购人不予支持。</w:t>
      </w:r>
    </w:p>
    <w:p w14:paraId="7D093162">
      <w:pPr>
        <w:pageBreakBefore w:val="0"/>
        <w:numPr>
          <w:ilvl w:val="1"/>
          <w:numId w:val="21"/>
        </w:numPr>
        <w:tabs>
          <w:tab w:val="left" w:pos="540"/>
        </w:tabs>
        <w:kinsoku/>
        <w:wordWrap/>
        <w:overflowPunct/>
        <w:topLinePunct w:val="0"/>
        <w:autoSpaceDE w:val="0"/>
        <w:autoSpaceDN w:val="0"/>
        <w:bidi w:val="0"/>
        <w:adjustRightInd w:val="0"/>
        <w:spacing w:after="0" w:line="440" w:lineRule="exact"/>
        <w:ind w:hanging="465"/>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成交供应商负责本项目所需的售后服务等全部工作，文件另有规定的除外。</w:t>
      </w:r>
    </w:p>
    <w:p w14:paraId="64B88A4A">
      <w:pPr>
        <w:pageBreakBefore w:val="0"/>
        <w:widowControl w:val="0"/>
        <w:numPr>
          <w:ilvl w:val="0"/>
          <w:numId w:val="11"/>
        </w:numPr>
        <w:tabs>
          <w:tab w:val="left" w:pos="360"/>
          <w:tab w:val="left" w:pos="540"/>
          <w:tab w:val="left" w:pos="644"/>
        </w:tabs>
        <w:kinsoku/>
        <w:wordWrap/>
        <w:overflowPunct/>
        <w:topLinePunct w:val="0"/>
        <w:bidi w:val="0"/>
        <w:adjustRightInd w:val="0"/>
        <w:spacing w:after="0" w:line="440" w:lineRule="exact"/>
        <w:ind w:left="540" w:hanging="616" w:hangingChars="257"/>
        <w:jc w:val="both"/>
        <w:outlineLvl w:val="1"/>
        <w:rPr>
          <w:rFonts w:ascii="宋体" w:hAnsi="宋体" w:cs="宋体"/>
          <w:b/>
          <w:snapToGrid w:val="0"/>
          <w:color w:val="auto"/>
          <w:sz w:val="24"/>
          <w:szCs w:val="24"/>
          <w:highlight w:val="none"/>
          <w:lang w:val="zh-CN"/>
        </w:rPr>
      </w:pPr>
      <w:r>
        <w:rPr>
          <w:rFonts w:hint="eastAsia" w:ascii="宋体" w:hAnsi="宋体" w:cs="宋体"/>
          <w:snapToGrid w:val="0"/>
          <w:color w:val="auto"/>
          <w:sz w:val="24"/>
          <w:szCs w:val="24"/>
          <w:highlight w:val="none"/>
          <w:lang w:val="zh-CN"/>
        </w:rPr>
        <w:t>备选方案</w:t>
      </w:r>
      <w:bookmarkEnd w:id="81"/>
      <w:bookmarkEnd w:id="82"/>
      <w:bookmarkEnd w:id="83"/>
      <w:bookmarkEnd w:id="84"/>
      <w:bookmarkEnd w:id="85"/>
      <w:bookmarkEnd w:id="86"/>
    </w:p>
    <w:p w14:paraId="169E254F">
      <w:pPr>
        <w:pageBreakBefore w:val="0"/>
        <w:widowControl w:val="0"/>
        <w:numPr>
          <w:ilvl w:val="0"/>
          <w:numId w:val="22"/>
        </w:numPr>
        <w:tabs>
          <w:tab w:val="left" w:pos="709"/>
        </w:tabs>
        <w:kinsoku/>
        <w:wordWrap/>
        <w:overflowPunct/>
        <w:topLinePunct w:val="0"/>
        <w:bidi w:val="0"/>
        <w:spacing w:after="0" w:line="440" w:lineRule="exact"/>
        <w:ind w:left="567" w:hanging="567"/>
        <w:contextualSpacing/>
        <w:jc w:val="both"/>
        <w:rPr>
          <w:rFonts w:ascii="宋体" w:hAnsi="宋体" w:cs="宋体"/>
          <w:snapToGrid w:val="0"/>
          <w:color w:val="auto"/>
          <w:sz w:val="24"/>
          <w:szCs w:val="24"/>
          <w:highlight w:val="none"/>
          <w:lang w:val="zh-CN"/>
        </w:rPr>
      </w:pPr>
      <w:r>
        <w:rPr>
          <w:rFonts w:hint="eastAsia" w:ascii="宋体" w:hAnsi="宋体"/>
          <w:color w:val="auto"/>
          <w:sz w:val="24"/>
          <w:szCs w:val="24"/>
          <w:highlight w:val="none"/>
          <w:lang w:val="zh-CN"/>
        </w:rPr>
        <w:t>是否允许备选方案见</w:t>
      </w:r>
      <w:r>
        <w:rPr>
          <w:rFonts w:hint="eastAsia" w:ascii="宋体" w:hAnsi="宋体" w:cs="宋体"/>
          <w:snapToGrid w:val="0"/>
          <w:color w:val="auto"/>
          <w:sz w:val="24"/>
          <w:szCs w:val="24"/>
          <w:highlight w:val="none"/>
          <w:lang w:val="zh-CN"/>
        </w:rPr>
        <w:t>《供应商须知前附表》。</w:t>
      </w:r>
      <w:r>
        <w:rPr>
          <w:rFonts w:hint="eastAsia" w:ascii="宋体" w:hAnsi="宋体" w:cs="宋体"/>
          <w:b/>
          <w:snapToGrid w:val="0"/>
          <w:color w:val="auto"/>
          <w:sz w:val="24"/>
          <w:szCs w:val="24"/>
          <w:highlight w:val="none"/>
          <w:lang w:val="zh-CN"/>
        </w:rPr>
        <w:t>不允许有备选方案的，若在响应文件中提交了备选方案，其响应文件将被视为无效响应</w:t>
      </w:r>
      <w:r>
        <w:rPr>
          <w:rFonts w:hint="eastAsia" w:ascii="宋体" w:hAnsi="宋体" w:cs="宋体"/>
          <w:snapToGrid w:val="0"/>
          <w:color w:val="auto"/>
          <w:sz w:val="24"/>
          <w:szCs w:val="24"/>
          <w:highlight w:val="none"/>
          <w:lang w:val="zh-CN"/>
        </w:rPr>
        <w:t xml:space="preserve">。 </w:t>
      </w:r>
    </w:p>
    <w:p w14:paraId="4C09F4CE">
      <w:pPr>
        <w:pageBreakBefore w:val="0"/>
        <w:widowControl w:val="0"/>
        <w:numPr>
          <w:ilvl w:val="0"/>
          <w:numId w:val="11"/>
        </w:numPr>
        <w:tabs>
          <w:tab w:val="left" w:pos="360"/>
          <w:tab w:val="left" w:pos="540"/>
          <w:tab w:val="left" w:pos="644"/>
        </w:tabs>
        <w:kinsoku/>
        <w:wordWrap/>
        <w:overflowPunct/>
        <w:topLinePunct w:val="0"/>
        <w:bidi w:val="0"/>
        <w:adjustRightInd w:val="0"/>
        <w:spacing w:after="0" w:line="440" w:lineRule="exact"/>
        <w:ind w:left="540" w:hanging="616" w:hangingChars="257"/>
        <w:jc w:val="both"/>
        <w:outlineLvl w:val="1"/>
        <w:rPr>
          <w:rFonts w:ascii="宋体" w:hAnsi="宋体" w:cs="宋体"/>
          <w:b/>
          <w:snapToGrid w:val="0"/>
          <w:color w:val="auto"/>
          <w:sz w:val="24"/>
          <w:szCs w:val="24"/>
          <w:highlight w:val="none"/>
          <w:lang w:val="zh-CN"/>
        </w:rPr>
      </w:pPr>
      <w:r>
        <w:rPr>
          <w:rFonts w:hint="eastAsia" w:ascii="宋体" w:hAnsi="宋体" w:cs="宋体"/>
          <w:snapToGrid w:val="0"/>
          <w:color w:val="auto"/>
          <w:sz w:val="24"/>
          <w:szCs w:val="24"/>
          <w:highlight w:val="none"/>
          <w:lang w:val="zh-CN"/>
        </w:rPr>
        <w:t>联合体的资格条件</w:t>
      </w:r>
    </w:p>
    <w:p w14:paraId="35016A03">
      <w:pPr>
        <w:pageBreakBefore w:val="0"/>
        <w:widowControl w:val="0"/>
        <w:numPr>
          <w:ilvl w:val="0"/>
          <w:numId w:val="23"/>
        </w:numPr>
        <w:tabs>
          <w:tab w:val="left" w:pos="709"/>
        </w:tabs>
        <w:kinsoku/>
        <w:wordWrap/>
        <w:overflowPunct/>
        <w:topLinePunct w:val="0"/>
        <w:bidi w:val="0"/>
        <w:spacing w:after="0" w:line="440" w:lineRule="exact"/>
        <w:ind w:left="567" w:hanging="567"/>
        <w:contextualSpacing/>
        <w:jc w:val="both"/>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本项目是否允许联合体响应详见《供应商须知前附表》。</w:t>
      </w:r>
    </w:p>
    <w:p w14:paraId="124CD381">
      <w:pPr>
        <w:pageBreakBefore w:val="0"/>
        <w:widowControl w:val="0"/>
        <w:numPr>
          <w:ilvl w:val="0"/>
          <w:numId w:val="23"/>
        </w:numPr>
        <w:tabs>
          <w:tab w:val="left" w:pos="709"/>
        </w:tabs>
        <w:kinsoku/>
        <w:wordWrap/>
        <w:overflowPunct/>
        <w:topLinePunct w:val="0"/>
        <w:bidi w:val="0"/>
        <w:spacing w:after="0" w:line="440" w:lineRule="exact"/>
        <w:ind w:left="567" w:hanging="567"/>
        <w:contextualSpacing/>
        <w:jc w:val="both"/>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两个以上的自然人、法人或者其他组织可以组成一个联合体，以一个供应商的身份共同参加政府采购。</w:t>
      </w:r>
    </w:p>
    <w:p w14:paraId="285AAA3F">
      <w:pPr>
        <w:pageBreakBefore w:val="0"/>
        <w:widowControl w:val="0"/>
        <w:numPr>
          <w:ilvl w:val="0"/>
          <w:numId w:val="23"/>
        </w:numPr>
        <w:tabs>
          <w:tab w:val="left" w:pos="709"/>
        </w:tabs>
        <w:kinsoku/>
        <w:wordWrap/>
        <w:overflowPunct/>
        <w:topLinePunct w:val="0"/>
        <w:bidi w:val="0"/>
        <w:spacing w:after="0" w:line="440" w:lineRule="exact"/>
        <w:ind w:left="567" w:hanging="567"/>
        <w:contextualSpacing/>
        <w:jc w:val="both"/>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以联合体形式参加政府采购的，参加联合体的供应商均应当具备《政府采购法》第二十二条规定的条件，并应当向采购人提交联合协议，载明联合体各方承担的工作和义务。</w:t>
      </w:r>
    </w:p>
    <w:p w14:paraId="3941F712">
      <w:pPr>
        <w:pageBreakBefore w:val="0"/>
        <w:widowControl w:val="0"/>
        <w:numPr>
          <w:ilvl w:val="0"/>
          <w:numId w:val="23"/>
        </w:numPr>
        <w:tabs>
          <w:tab w:val="left" w:pos="709"/>
        </w:tabs>
        <w:kinsoku/>
        <w:wordWrap/>
        <w:overflowPunct/>
        <w:topLinePunct w:val="0"/>
        <w:bidi w:val="0"/>
        <w:spacing w:after="0" w:line="440" w:lineRule="exact"/>
        <w:ind w:left="567" w:hanging="567"/>
        <w:contextualSpacing/>
        <w:jc w:val="both"/>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以联合体形式参加政府采购活动的，联合体各方不得再单独参加或者与其他供应商另外组成联合体参加同一合同项下的政府采购活动。</w:t>
      </w:r>
    </w:p>
    <w:p w14:paraId="32B0529E">
      <w:pPr>
        <w:pageBreakBefore w:val="0"/>
        <w:widowControl w:val="0"/>
        <w:numPr>
          <w:ilvl w:val="0"/>
          <w:numId w:val="23"/>
        </w:numPr>
        <w:tabs>
          <w:tab w:val="left" w:pos="709"/>
        </w:tabs>
        <w:kinsoku/>
        <w:wordWrap/>
        <w:overflowPunct/>
        <w:topLinePunct w:val="0"/>
        <w:bidi w:val="0"/>
        <w:spacing w:after="0" w:line="440" w:lineRule="exact"/>
        <w:ind w:left="567" w:hanging="567"/>
        <w:contextualSpacing/>
        <w:jc w:val="both"/>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联合体成交的，联合体各方应当共同与采购人签订采购合同，就采购合同约定的事项对采购人承担连带责任。</w:t>
      </w:r>
    </w:p>
    <w:p w14:paraId="315E5283">
      <w:pPr>
        <w:pageBreakBefore w:val="0"/>
        <w:widowControl w:val="0"/>
        <w:numPr>
          <w:ilvl w:val="0"/>
          <w:numId w:val="23"/>
        </w:numPr>
        <w:tabs>
          <w:tab w:val="left" w:pos="709"/>
        </w:tabs>
        <w:kinsoku/>
        <w:wordWrap/>
        <w:overflowPunct/>
        <w:topLinePunct w:val="0"/>
        <w:bidi w:val="0"/>
        <w:spacing w:after="0" w:line="440" w:lineRule="exact"/>
        <w:ind w:left="567" w:hanging="567"/>
        <w:contextualSpacing/>
        <w:jc w:val="both"/>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联合体中有同类资质的供应商按照联合体分工承担相同工作的，应当按照资质等级较低的供应商确定资质等级。</w:t>
      </w:r>
    </w:p>
    <w:p w14:paraId="5B0C66E9">
      <w:pPr>
        <w:pageBreakBefore w:val="0"/>
        <w:widowControl w:val="0"/>
        <w:numPr>
          <w:ilvl w:val="0"/>
          <w:numId w:val="11"/>
        </w:numPr>
        <w:tabs>
          <w:tab w:val="left" w:pos="360"/>
          <w:tab w:val="left" w:pos="426"/>
          <w:tab w:val="left" w:pos="644"/>
        </w:tabs>
        <w:kinsoku/>
        <w:wordWrap/>
        <w:overflowPunct/>
        <w:topLinePunct w:val="0"/>
        <w:bidi w:val="0"/>
        <w:adjustRightInd w:val="0"/>
        <w:spacing w:after="0" w:line="440" w:lineRule="exact"/>
        <w:ind w:left="540" w:hanging="616" w:hangingChars="257"/>
        <w:jc w:val="both"/>
        <w:outlineLvl w:val="1"/>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成交后的分包</w:t>
      </w:r>
    </w:p>
    <w:p w14:paraId="05D4CD3E">
      <w:pPr>
        <w:pageBreakBefore w:val="0"/>
        <w:widowControl w:val="0"/>
        <w:numPr>
          <w:ilvl w:val="0"/>
          <w:numId w:val="24"/>
        </w:numPr>
        <w:tabs>
          <w:tab w:val="left" w:pos="709"/>
        </w:tabs>
        <w:kinsoku/>
        <w:wordWrap/>
        <w:overflowPunct/>
        <w:topLinePunct w:val="0"/>
        <w:bidi w:val="0"/>
        <w:spacing w:after="0" w:line="440" w:lineRule="exact"/>
        <w:ind w:left="567" w:hanging="567"/>
        <w:contextualSpacing/>
        <w:jc w:val="both"/>
        <w:rPr>
          <w:rFonts w:ascii="宋体" w:hAnsi="宋体" w:cs="宋体"/>
          <w:snapToGrid w:val="0"/>
          <w:color w:val="auto"/>
          <w:sz w:val="24"/>
          <w:szCs w:val="24"/>
          <w:highlight w:val="none"/>
          <w:lang w:val="zh-CN"/>
        </w:rPr>
      </w:pPr>
      <w:r>
        <w:rPr>
          <w:rFonts w:hint="eastAsia" w:ascii="宋体" w:hAnsi="宋体"/>
          <w:color w:val="auto"/>
          <w:sz w:val="24"/>
          <w:szCs w:val="24"/>
          <w:highlight w:val="none"/>
        </w:rPr>
        <w:t>成</w:t>
      </w:r>
      <w:r>
        <w:rPr>
          <w:rFonts w:hint="eastAsia" w:ascii="宋体" w:hAnsi="宋体" w:cs="宋体"/>
          <w:snapToGrid w:val="0"/>
          <w:color w:val="auto"/>
          <w:sz w:val="24"/>
          <w:szCs w:val="24"/>
          <w:highlight w:val="none"/>
          <w:lang w:val="zh-CN"/>
        </w:rPr>
        <w:t>交后是否允许分包详见《供应商须知前附表》。</w:t>
      </w:r>
    </w:p>
    <w:p w14:paraId="4FD279C5">
      <w:pPr>
        <w:pageBreakBefore w:val="0"/>
        <w:widowControl w:val="0"/>
        <w:numPr>
          <w:ilvl w:val="0"/>
          <w:numId w:val="24"/>
        </w:numPr>
        <w:tabs>
          <w:tab w:val="left" w:pos="709"/>
        </w:tabs>
        <w:kinsoku/>
        <w:wordWrap/>
        <w:overflowPunct/>
        <w:topLinePunct w:val="0"/>
        <w:bidi w:val="0"/>
        <w:spacing w:after="0" w:line="440" w:lineRule="exact"/>
        <w:ind w:left="567" w:hanging="567"/>
        <w:contextualSpacing/>
        <w:jc w:val="both"/>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采购文件规定项目非主体、非关键性工作成交后可以分包的，供应商拟在成交后将项目的非主体、非关键性工作分包，应当在响应文件中载明具备相应资质条件的分包承担主体，分包承担主体不得再次分包。</w:t>
      </w:r>
    </w:p>
    <w:p w14:paraId="1D1C49D5">
      <w:pPr>
        <w:pageBreakBefore w:val="0"/>
        <w:widowControl w:val="0"/>
        <w:numPr>
          <w:ilvl w:val="0"/>
          <w:numId w:val="11"/>
        </w:numPr>
        <w:tabs>
          <w:tab w:val="left" w:pos="360"/>
          <w:tab w:val="left" w:pos="540"/>
          <w:tab w:val="left" w:pos="644"/>
        </w:tabs>
        <w:kinsoku/>
        <w:wordWrap/>
        <w:overflowPunct/>
        <w:topLinePunct w:val="0"/>
        <w:bidi w:val="0"/>
        <w:adjustRightInd w:val="0"/>
        <w:spacing w:after="0" w:line="440" w:lineRule="exact"/>
        <w:ind w:left="540" w:hanging="616" w:hangingChars="257"/>
        <w:jc w:val="both"/>
        <w:outlineLvl w:val="1"/>
        <w:rPr>
          <w:rFonts w:ascii="宋体" w:hAnsi="宋体" w:cs="宋体"/>
          <w:b/>
          <w:snapToGrid w:val="0"/>
          <w:color w:val="auto"/>
          <w:sz w:val="24"/>
          <w:szCs w:val="24"/>
          <w:highlight w:val="none"/>
          <w:lang w:val="zh-CN"/>
        </w:rPr>
      </w:pPr>
      <w:bookmarkStart w:id="87" w:name="_Toc515822986"/>
      <w:bookmarkStart w:id="88" w:name="_Toc25247"/>
      <w:bookmarkStart w:id="89" w:name="_Toc25512"/>
      <w:bookmarkStart w:id="90" w:name="_Toc13898"/>
      <w:bookmarkStart w:id="91" w:name="_Toc7731"/>
      <w:bookmarkStart w:id="92" w:name="_Toc23135"/>
      <w:r>
        <w:rPr>
          <w:rFonts w:hint="eastAsia" w:ascii="宋体" w:hAnsi="宋体" w:cs="宋体"/>
          <w:color w:val="auto"/>
          <w:sz w:val="24"/>
          <w:szCs w:val="24"/>
          <w:highlight w:val="none"/>
        </w:rPr>
        <w:t>供应商资格证明文件</w:t>
      </w:r>
      <w:bookmarkEnd w:id="87"/>
      <w:bookmarkEnd w:id="88"/>
      <w:bookmarkEnd w:id="89"/>
      <w:bookmarkEnd w:id="90"/>
      <w:bookmarkEnd w:id="91"/>
      <w:bookmarkEnd w:id="92"/>
    </w:p>
    <w:p w14:paraId="6149261A">
      <w:pPr>
        <w:pageBreakBefore w:val="0"/>
        <w:widowControl w:val="0"/>
        <w:numPr>
          <w:ilvl w:val="0"/>
          <w:numId w:val="25"/>
        </w:numPr>
        <w:kinsoku/>
        <w:wordWrap/>
        <w:overflowPunct/>
        <w:topLinePunct w:val="0"/>
        <w:bidi w:val="0"/>
        <w:spacing w:after="0" w:line="440" w:lineRule="exact"/>
        <w:ind w:left="567" w:hanging="567"/>
        <w:jc w:val="both"/>
        <w:rPr>
          <w:rFonts w:ascii="宋体" w:hAnsi="宋体"/>
          <w:color w:val="auto"/>
          <w:kern w:val="2"/>
          <w:sz w:val="24"/>
          <w:szCs w:val="24"/>
          <w:highlight w:val="none"/>
          <w:lang w:val="zh-CN"/>
        </w:rPr>
      </w:pPr>
      <w:bookmarkStart w:id="93" w:name="_Toc515822988"/>
      <w:bookmarkStart w:id="94" w:name="_Toc4852"/>
      <w:bookmarkStart w:id="95" w:name="_Toc6945"/>
      <w:bookmarkStart w:id="96" w:name="_Toc28919"/>
      <w:bookmarkStart w:id="97" w:name="_Toc22466"/>
      <w:bookmarkStart w:id="98" w:name="_Toc2487"/>
      <w:r>
        <w:rPr>
          <w:rFonts w:hint="eastAsia" w:ascii="宋体" w:hAnsi="宋体"/>
          <w:color w:val="auto"/>
          <w:kern w:val="2"/>
          <w:sz w:val="24"/>
          <w:szCs w:val="24"/>
          <w:highlight w:val="none"/>
          <w:lang w:val="zh-CN"/>
        </w:rPr>
        <w:t>供应商应按本节及第四章评审办法“资格审查表”的要求，提供足以证明其符合资格要求且成交后有能力履行合同的文件，并作为其响应文件的组成部分。</w:t>
      </w:r>
    </w:p>
    <w:p w14:paraId="4E47965A">
      <w:pPr>
        <w:pageBreakBefore w:val="0"/>
        <w:widowControl w:val="0"/>
        <w:numPr>
          <w:ilvl w:val="0"/>
          <w:numId w:val="25"/>
        </w:numPr>
        <w:kinsoku/>
        <w:wordWrap/>
        <w:overflowPunct/>
        <w:topLinePunct w:val="0"/>
        <w:bidi w:val="0"/>
        <w:spacing w:after="0" w:line="440" w:lineRule="exact"/>
        <w:ind w:left="567" w:hanging="567"/>
        <w:jc w:val="both"/>
        <w:rPr>
          <w:rFonts w:ascii="宋体" w:hAnsi="宋体"/>
          <w:color w:val="auto"/>
          <w:kern w:val="2"/>
          <w:sz w:val="24"/>
          <w:szCs w:val="24"/>
          <w:highlight w:val="none"/>
          <w:lang w:val="zh-CN"/>
        </w:rPr>
      </w:pPr>
      <w:r>
        <w:rPr>
          <w:rFonts w:hint="eastAsia" w:ascii="宋体" w:hAnsi="宋体"/>
          <w:color w:val="auto"/>
          <w:kern w:val="2"/>
          <w:sz w:val="24"/>
          <w:szCs w:val="24"/>
          <w:highlight w:val="none"/>
          <w:lang w:val="zh-CN"/>
        </w:rPr>
        <w:t>证明材料仅限于供应商单位本身，母公司、股东单位和子公司的材料不能作为证明材料，但供应商单位兼并的企业的材料可作为证明材料。</w:t>
      </w:r>
    </w:p>
    <w:p w14:paraId="2B5FCB8B">
      <w:pPr>
        <w:pageBreakBefore w:val="0"/>
        <w:widowControl w:val="0"/>
        <w:numPr>
          <w:ilvl w:val="0"/>
          <w:numId w:val="11"/>
        </w:numPr>
        <w:tabs>
          <w:tab w:val="left" w:pos="360"/>
          <w:tab w:val="left" w:pos="540"/>
          <w:tab w:val="left" w:pos="644"/>
        </w:tabs>
        <w:kinsoku/>
        <w:wordWrap/>
        <w:overflowPunct/>
        <w:topLinePunct w:val="0"/>
        <w:bidi w:val="0"/>
        <w:adjustRightInd w:val="0"/>
        <w:spacing w:after="0" w:line="440" w:lineRule="exact"/>
        <w:ind w:left="540" w:hanging="616" w:hangingChars="257"/>
        <w:jc w:val="both"/>
        <w:outlineLvl w:val="1"/>
        <w:rPr>
          <w:rFonts w:ascii="宋体" w:hAnsi="宋体" w:cs="宋体"/>
          <w:color w:val="auto"/>
          <w:sz w:val="24"/>
          <w:szCs w:val="24"/>
          <w:highlight w:val="none"/>
        </w:rPr>
      </w:pPr>
      <w:r>
        <w:rPr>
          <w:rFonts w:hint="eastAsia" w:ascii="宋体" w:hAnsi="宋体" w:cs="宋体"/>
          <w:color w:val="auto"/>
          <w:sz w:val="24"/>
          <w:szCs w:val="24"/>
          <w:highlight w:val="none"/>
        </w:rPr>
        <w:t>磋商</w:t>
      </w:r>
      <w:r>
        <w:rPr>
          <w:rFonts w:hint="eastAsia" w:ascii="宋体" w:hAnsi="宋体" w:cs="宋体"/>
          <w:snapToGrid w:val="0"/>
          <w:color w:val="auto"/>
          <w:sz w:val="24"/>
          <w:szCs w:val="24"/>
          <w:highlight w:val="none"/>
          <w:lang w:val="zh-CN"/>
        </w:rPr>
        <w:t>保证金</w:t>
      </w:r>
      <w:bookmarkEnd w:id="93"/>
      <w:bookmarkEnd w:id="94"/>
      <w:bookmarkEnd w:id="95"/>
      <w:bookmarkEnd w:id="96"/>
      <w:bookmarkEnd w:id="97"/>
      <w:bookmarkEnd w:id="98"/>
    </w:p>
    <w:p w14:paraId="15106CF7">
      <w:pPr>
        <w:pageBreakBefore w:val="0"/>
        <w:widowControl w:val="0"/>
        <w:numPr>
          <w:ilvl w:val="0"/>
          <w:numId w:val="26"/>
        </w:numPr>
        <w:tabs>
          <w:tab w:val="left" w:pos="709"/>
        </w:tabs>
        <w:kinsoku/>
        <w:wordWrap/>
        <w:overflowPunct/>
        <w:topLinePunct w:val="0"/>
        <w:bidi w:val="0"/>
        <w:spacing w:after="0" w:line="440" w:lineRule="exact"/>
        <w:ind w:left="567" w:hanging="567"/>
        <w:contextualSpacing/>
        <w:jc w:val="both"/>
        <w:rPr>
          <w:rFonts w:ascii="宋体" w:hAnsi="宋体"/>
          <w:color w:val="auto"/>
          <w:kern w:val="2"/>
          <w:sz w:val="24"/>
          <w:szCs w:val="24"/>
          <w:highlight w:val="none"/>
          <w:lang w:val="zh-CN"/>
        </w:rPr>
      </w:pPr>
      <w:r>
        <w:rPr>
          <w:rFonts w:hint="eastAsia" w:ascii="宋体" w:hAnsi="宋体"/>
          <w:color w:val="auto"/>
          <w:kern w:val="2"/>
          <w:sz w:val="24"/>
          <w:szCs w:val="24"/>
          <w:highlight w:val="none"/>
          <w:lang w:val="zh-CN"/>
        </w:rPr>
        <w:t>本采购项目是否要求递交磋商保证金及保证金金额、递交方式、递交时间、接收保证金的账户信息等详见《供应商须知前附表》。</w:t>
      </w:r>
    </w:p>
    <w:p w14:paraId="3230EE90">
      <w:pPr>
        <w:pageBreakBefore w:val="0"/>
        <w:widowControl w:val="0"/>
        <w:numPr>
          <w:ilvl w:val="0"/>
          <w:numId w:val="26"/>
        </w:numPr>
        <w:tabs>
          <w:tab w:val="left" w:pos="709"/>
        </w:tabs>
        <w:kinsoku/>
        <w:wordWrap/>
        <w:overflowPunct/>
        <w:topLinePunct w:val="0"/>
        <w:bidi w:val="0"/>
        <w:spacing w:after="0" w:line="440" w:lineRule="exact"/>
        <w:ind w:left="567" w:hanging="567"/>
        <w:contextualSpacing/>
        <w:jc w:val="both"/>
        <w:rPr>
          <w:rFonts w:ascii="宋体" w:hAnsi="宋体"/>
          <w:color w:val="auto"/>
          <w:kern w:val="2"/>
          <w:sz w:val="24"/>
          <w:szCs w:val="24"/>
          <w:highlight w:val="none"/>
          <w:lang w:val="zh-CN"/>
        </w:rPr>
      </w:pPr>
      <w:r>
        <w:rPr>
          <w:rFonts w:hint="eastAsia" w:ascii="宋体" w:hAnsi="宋体"/>
          <w:color w:val="auto"/>
          <w:kern w:val="2"/>
          <w:sz w:val="24"/>
          <w:szCs w:val="24"/>
          <w:highlight w:val="none"/>
          <w:lang w:val="zh-CN"/>
        </w:rPr>
        <w:t>采购文件要求递交磋商保证金的，磋商保证金作为磋商响应文件的组成部分。供应商应在响应文件中提供交纳保证金的凭证。</w:t>
      </w:r>
    </w:p>
    <w:p w14:paraId="1A3CD1F2">
      <w:pPr>
        <w:pageBreakBefore w:val="0"/>
        <w:widowControl w:val="0"/>
        <w:numPr>
          <w:ilvl w:val="0"/>
          <w:numId w:val="26"/>
        </w:numPr>
        <w:tabs>
          <w:tab w:val="left" w:pos="709"/>
        </w:tabs>
        <w:kinsoku/>
        <w:wordWrap/>
        <w:overflowPunct/>
        <w:topLinePunct w:val="0"/>
        <w:bidi w:val="0"/>
        <w:spacing w:after="0" w:line="440" w:lineRule="exact"/>
        <w:ind w:left="567" w:hanging="567"/>
        <w:contextualSpacing/>
        <w:jc w:val="both"/>
        <w:rPr>
          <w:rFonts w:ascii="宋体" w:hAnsi="宋体"/>
          <w:color w:val="auto"/>
          <w:kern w:val="2"/>
          <w:sz w:val="24"/>
          <w:szCs w:val="24"/>
          <w:highlight w:val="none"/>
          <w:lang w:val="zh-CN"/>
        </w:rPr>
      </w:pPr>
      <w:r>
        <w:rPr>
          <w:rFonts w:hint="eastAsia" w:ascii="宋体" w:hAnsi="宋体"/>
          <w:color w:val="auto"/>
          <w:kern w:val="2"/>
          <w:sz w:val="24"/>
          <w:szCs w:val="24"/>
          <w:highlight w:val="none"/>
          <w:lang w:val="zh-CN"/>
        </w:rPr>
        <w:t>磋商保证金的有效期应与响应文件有效期一致。</w:t>
      </w:r>
    </w:p>
    <w:p w14:paraId="2A4EFD45">
      <w:pPr>
        <w:pageBreakBefore w:val="0"/>
        <w:widowControl w:val="0"/>
        <w:numPr>
          <w:ilvl w:val="0"/>
          <w:numId w:val="26"/>
        </w:numPr>
        <w:tabs>
          <w:tab w:val="left" w:pos="709"/>
        </w:tabs>
        <w:kinsoku/>
        <w:wordWrap/>
        <w:overflowPunct/>
        <w:topLinePunct w:val="0"/>
        <w:bidi w:val="0"/>
        <w:spacing w:after="0" w:line="440" w:lineRule="exact"/>
        <w:ind w:left="567" w:hanging="567"/>
        <w:contextualSpacing/>
        <w:jc w:val="both"/>
        <w:rPr>
          <w:rFonts w:ascii="宋体" w:hAnsi="宋体"/>
          <w:color w:val="auto"/>
          <w:kern w:val="2"/>
          <w:sz w:val="24"/>
          <w:szCs w:val="24"/>
          <w:highlight w:val="none"/>
          <w:lang w:val="zh-CN"/>
        </w:rPr>
      </w:pPr>
      <w:r>
        <w:rPr>
          <w:rFonts w:hint="eastAsia" w:ascii="宋体" w:hAnsi="宋体"/>
          <w:color w:val="auto"/>
          <w:kern w:val="2"/>
          <w:sz w:val="24"/>
          <w:szCs w:val="24"/>
          <w:highlight w:val="none"/>
          <w:lang w:val="zh-CN"/>
        </w:rPr>
        <w:t>供应商为联合体的，应由联合体中牵头人交纳保证金，其交纳的保证金对联合体各方均具有约束力。</w:t>
      </w:r>
    </w:p>
    <w:p w14:paraId="3356F711">
      <w:pPr>
        <w:pageBreakBefore w:val="0"/>
        <w:widowControl w:val="0"/>
        <w:numPr>
          <w:ilvl w:val="0"/>
          <w:numId w:val="26"/>
        </w:numPr>
        <w:tabs>
          <w:tab w:val="left" w:pos="709"/>
        </w:tabs>
        <w:kinsoku/>
        <w:wordWrap/>
        <w:overflowPunct/>
        <w:topLinePunct w:val="0"/>
        <w:bidi w:val="0"/>
        <w:spacing w:after="0" w:line="440" w:lineRule="exact"/>
        <w:ind w:left="567" w:hanging="567"/>
        <w:contextualSpacing/>
        <w:jc w:val="both"/>
        <w:rPr>
          <w:rFonts w:ascii="宋体" w:hAnsi="宋体" w:cs="宋体"/>
          <w:color w:val="auto"/>
          <w:sz w:val="24"/>
          <w:szCs w:val="24"/>
          <w:highlight w:val="none"/>
          <w:lang w:val="zh-CN"/>
        </w:rPr>
      </w:pPr>
      <w:r>
        <w:rPr>
          <w:rFonts w:hint="eastAsia" w:ascii="宋体" w:hAnsi="宋体"/>
          <w:b/>
          <w:color w:val="auto"/>
          <w:kern w:val="2"/>
          <w:sz w:val="24"/>
          <w:szCs w:val="24"/>
          <w:highlight w:val="none"/>
          <w:lang w:val="zh-CN"/>
        </w:rPr>
        <w:t>凡未按规</w:t>
      </w:r>
      <w:r>
        <w:rPr>
          <w:rFonts w:hint="eastAsia" w:ascii="宋体" w:hAnsi="宋体" w:cs="宋体"/>
          <w:b/>
          <w:snapToGrid w:val="0"/>
          <w:color w:val="auto"/>
          <w:sz w:val="24"/>
          <w:szCs w:val="24"/>
          <w:highlight w:val="none"/>
          <w:lang w:val="zh-CN"/>
        </w:rPr>
        <w:t>定时间、金额递交磋商保证金、交纳保证金的账户名称与供应商名称不一致的按照无效响应处理</w:t>
      </w:r>
      <w:r>
        <w:rPr>
          <w:rFonts w:hint="eastAsia" w:ascii="宋体" w:hAnsi="宋体" w:cs="宋体"/>
          <w:snapToGrid w:val="0"/>
          <w:color w:val="auto"/>
          <w:sz w:val="24"/>
          <w:szCs w:val="24"/>
          <w:highlight w:val="none"/>
          <w:lang w:val="zh-CN"/>
        </w:rPr>
        <w:t>。</w:t>
      </w:r>
    </w:p>
    <w:p w14:paraId="2A510717">
      <w:pPr>
        <w:pageBreakBefore w:val="0"/>
        <w:widowControl w:val="0"/>
        <w:numPr>
          <w:ilvl w:val="0"/>
          <w:numId w:val="11"/>
        </w:numPr>
        <w:tabs>
          <w:tab w:val="left" w:pos="360"/>
          <w:tab w:val="left" w:pos="540"/>
          <w:tab w:val="left" w:pos="644"/>
        </w:tabs>
        <w:kinsoku/>
        <w:wordWrap/>
        <w:overflowPunct/>
        <w:topLinePunct w:val="0"/>
        <w:bidi w:val="0"/>
        <w:adjustRightInd w:val="0"/>
        <w:spacing w:after="0" w:line="440" w:lineRule="exact"/>
        <w:ind w:left="540" w:hanging="616" w:hangingChars="257"/>
        <w:jc w:val="both"/>
        <w:outlineLvl w:val="1"/>
        <w:rPr>
          <w:rFonts w:ascii="宋体" w:hAnsi="宋体" w:cs="宋体"/>
          <w:color w:val="auto"/>
          <w:sz w:val="24"/>
          <w:szCs w:val="24"/>
          <w:highlight w:val="none"/>
        </w:rPr>
      </w:pPr>
      <w:r>
        <w:rPr>
          <w:rFonts w:hint="eastAsia" w:ascii="宋体" w:hAnsi="宋体" w:cs="宋体"/>
          <w:snapToGrid w:val="0"/>
          <w:color w:val="auto"/>
          <w:sz w:val="24"/>
          <w:szCs w:val="24"/>
          <w:highlight w:val="none"/>
          <w:lang w:val="zh-CN"/>
        </w:rPr>
        <w:t>保证金的退还</w:t>
      </w:r>
    </w:p>
    <w:p w14:paraId="0189D4E0">
      <w:pPr>
        <w:pageBreakBefore w:val="0"/>
        <w:widowControl w:val="0"/>
        <w:numPr>
          <w:ilvl w:val="0"/>
          <w:numId w:val="27"/>
        </w:numPr>
        <w:tabs>
          <w:tab w:val="left" w:pos="540"/>
          <w:tab w:val="left" w:pos="2040"/>
        </w:tabs>
        <w:kinsoku/>
        <w:wordWrap/>
        <w:overflowPunct/>
        <w:topLinePunct w:val="0"/>
        <w:autoSpaceDE w:val="0"/>
        <w:autoSpaceDN w:val="0"/>
        <w:bidi w:val="0"/>
        <w:adjustRightInd w:val="0"/>
        <w:spacing w:after="0" w:line="440" w:lineRule="exact"/>
        <w:ind w:left="567" w:hanging="283"/>
        <w:jc w:val="both"/>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采购代理机构将在自成交通知书发出之日起5个工作日内（如无质疑或投诉）退还未成交供应商的磋商保证金；自合同签订之日起5个工作日内退还成交供应商的磋商保证金。</w:t>
      </w:r>
    </w:p>
    <w:p w14:paraId="1FB84ED9">
      <w:pPr>
        <w:pageBreakBefore w:val="0"/>
        <w:widowControl w:val="0"/>
        <w:numPr>
          <w:ilvl w:val="0"/>
          <w:numId w:val="27"/>
        </w:numPr>
        <w:tabs>
          <w:tab w:val="left" w:pos="540"/>
          <w:tab w:val="left" w:pos="2040"/>
        </w:tabs>
        <w:kinsoku/>
        <w:wordWrap/>
        <w:overflowPunct/>
        <w:topLinePunct w:val="0"/>
        <w:autoSpaceDE w:val="0"/>
        <w:autoSpaceDN w:val="0"/>
        <w:bidi w:val="0"/>
        <w:adjustRightInd w:val="0"/>
        <w:spacing w:after="0" w:line="440" w:lineRule="exact"/>
        <w:ind w:left="567" w:hanging="283"/>
        <w:jc w:val="both"/>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供应商在递交响应文件截止时间前撤回已提交的响应文件的，采购代理机构将在自收到供应商书面撤回通知之日起5个工作日内，退还已收取的磋商保证金，但因供应商自身原因导致无法及时退还的除外。</w:t>
      </w:r>
    </w:p>
    <w:p w14:paraId="7CB59A85">
      <w:pPr>
        <w:pageBreakBefore w:val="0"/>
        <w:widowControl w:val="0"/>
        <w:numPr>
          <w:ilvl w:val="0"/>
          <w:numId w:val="27"/>
        </w:numPr>
        <w:tabs>
          <w:tab w:val="left" w:pos="540"/>
          <w:tab w:val="left" w:pos="2040"/>
        </w:tabs>
        <w:kinsoku/>
        <w:wordWrap/>
        <w:overflowPunct/>
        <w:topLinePunct w:val="0"/>
        <w:autoSpaceDE w:val="0"/>
        <w:autoSpaceDN w:val="0"/>
        <w:bidi w:val="0"/>
        <w:adjustRightInd w:val="0"/>
        <w:spacing w:after="0" w:line="440" w:lineRule="exact"/>
        <w:ind w:left="567" w:hanging="283"/>
        <w:jc w:val="both"/>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磋商保证金将直接退还至供应商交纳时的账户，不以现金方式退还。</w:t>
      </w:r>
    </w:p>
    <w:p w14:paraId="5DF5D4CA">
      <w:pPr>
        <w:pageBreakBefore w:val="0"/>
        <w:widowControl w:val="0"/>
        <w:numPr>
          <w:ilvl w:val="0"/>
          <w:numId w:val="11"/>
        </w:numPr>
        <w:tabs>
          <w:tab w:val="left" w:pos="360"/>
          <w:tab w:val="left" w:pos="540"/>
          <w:tab w:val="left" w:pos="644"/>
        </w:tabs>
        <w:kinsoku/>
        <w:wordWrap/>
        <w:overflowPunct/>
        <w:topLinePunct w:val="0"/>
        <w:bidi w:val="0"/>
        <w:adjustRightInd w:val="0"/>
        <w:spacing w:after="0" w:line="440" w:lineRule="exact"/>
        <w:ind w:left="540" w:hanging="616" w:hangingChars="257"/>
        <w:jc w:val="both"/>
        <w:outlineLvl w:val="1"/>
        <w:rPr>
          <w:rFonts w:ascii="宋体" w:hAnsi="宋体" w:cs="宋体"/>
          <w:color w:val="auto"/>
          <w:sz w:val="24"/>
          <w:szCs w:val="24"/>
          <w:highlight w:val="none"/>
        </w:rPr>
      </w:pPr>
      <w:r>
        <w:rPr>
          <w:rFonts w:hint="eastAsia" w:ascii="宋体" w:hAnsi="宋体" w:cs="宋体"/>
          <w:color w:val="auto"/>
          <w:sz w:val="24"/>
          <w:szCs w:val="24"/>
          <w:highlight w:val="none"/>
        </w:rPr>
        <w:t>供应商有下列情形之一的，其磋商保证金不予退还：</w:t>
      </w:r>
    </w:p>
    <w:p w14:paraId="3AF14457">
      <w:pPr>
        <w:pageBreakBefore w:val="0"/>
        <w:widowControl w:val="0"/>
        <w:numPr>
          <w:ilvl w:val="0"/>
          <w:numId w:val="28"/>
        </w:numPr>
        <w:tabs>
          <w:tab w:val="left" w:pos="540"/>
          <w:tab w:val="left" w:pos="600"/>
          <w:tab w:val="left" w:pos="2040"/>
        </w:tabs>
        <w:kinsoku/>
        <w:wordWrap/>
        <w:overflowPunct/>
        <w:topLinePunct w:val="0"/>
        <w:autoSpaceDE w:val="0"/>
        <w:autoSpaceDN w:val="0"/>
        <w:bidi w:val="0"/>
        <w:adjustRightInd w:val="0"/>
        <w:spacing w:after="0" w:line="440" w:lineRule="exact"/>
        <w:jc w:val="both"/>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供应商在提交响应文件截止时间后撤回响应文件的；</w:t>
      </w:r>
    </w:p>
    <w:p w14:paraId="54D79A37">
      <w:pPr>
        <w:pageBreakBefore w:val="0"/>
        <w:widowControl w:val="0"/>
        <w:numPr>
          <w:ilvl w:val="0"/>
          <w:numId w:val="28"/>
        </w:numPr>
        <w:tabs>
          <w:tab w:val="left" w:pos="540"/>
          <w:tab w:val="left" w:pos="600"/>
          <w:tab w:val="left" w:pos="2040"/>
        </w:tabs>
        <w:kinsoku/>
        <w:wordWrap/>
        <w:overflowPunct/>
        <w:topLinePunct w:val="0"/>
        <w:autoSpaceDE w:val="0"/>
        <w:autoSpaceDN w:val="0"/>
        <w:bidi w:val="0"/>
        <w:adjustRightInd w:val="0"/>
        <w:spacing w:after="0" w:line="440" w:lineRule="exact"/>
        <w:jc w:val="both"/>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供应商在响应文件中提供虚假材料的；</w:t>
      </w:r>
    </w:p>
    <w:p w14:paraId="6E441D4C">
      <w:pPr>
        <w:pageBreakBefore w:val="0"/>
        <w:widowControl w:val="0"/>
        <w:numPr>
          <w:ilvl w:val="0"/>
          <w:numId w:val="28"/>
        </w:numPr>
        <w:tabs>
          <w:tab w:val="left" w:pos="540"/>
          <w:tab w:val="left" w:pos="600"/>
          <w:tab w:val="left" w:pos="2040"/>
        </w:tabs>
        <w:kinsoku/>
        <w:wordWrap/>
        <w:overflowPunct/>
        <w:topLinePunct w:val="0"/>
        <w:autoSpaceDE w:val="0"/>
        <w:autoSpaceDN w:val="0"/>
        <w:bidi w:val="0"/>
        <w:adjustRightInd w:val="0"/>
        <w:spacing w:after="0" w:line="440" w:lineRule="exact"/>
        <w:jc w:val="both"/>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除因不可抗力或采购文件认可的情形以外，成交供应商不与采购人签订合同的；</w:t>
      </w:r>
    </w:p>
    <w:p w14:paraId="4624ED56">
      <w:pPr>
        <w:pageBreakBefore w:val="0"/>
        <w:widowControl w:val="0"/>
        <w:numPr>
          <w:ilvl w:val="0"/>
          <w:numId w:val="28"/>
        </w:numPr>
        <w:tabs>
          <w:tab w:val="left" w:pos="540"/>
          <w:tab w:val="left" w:pos="600"/>
          <w:tab w:val="left" w:pos="2040"/>
        </w:tabs>
        <w:kinsoku/>
        <w:wordWrap/>
        <w:overflowPunct/>
        <w:topLinePunct w:val="0"/>
        <w:autoSpaceDE w:val="0"/>
        <w:autoSpaceDN w:val="0"/>
        <w:bidi w:val="0"/>
        <w:adjustRightInd w:val="0"/>
        <w:spacing w:after="0" w:line="440" w:lineRule="exact"/>
        <w:jc w:val="both"/>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供应商与采购人、其他供应商或者采购代理机构恶意串通的；</w:t>
      </w:r>
    </w:p>
    <w:p w14:paraId="11B1D87B">
      <w:pPr>
        <w:pageBreakBefore w:val="0"/>
        <w:widowControl w:val="0"/>
        <w:numPr>
          <w:ilvl w:val="0"/>
          <w:numId w:val="28"/>
        </w:numPr>
        <w:tabs>
          <w:tab w:val="left" w:pos="540"/>
          <w:tab w:val="left" w:pos="600"/>
          <w:tab w:val="left" w:pos="2040"/>
        </w:tabs>
        <w:kinsoku/>
        <w:wordWrap/>
        <w:overflowPunct/>
        <w:topLinePunct w:val="0"/>
        <w:autoSpaceDE w:val="0"/>
        <w:autoSpaceDN w:val="0"/>
        <w:bidi w:val="0"/>
        <w:adjustRightInd w:val="0"/>
        <w:spacing w:after="0" w:line="440" w:lineRule="exact"/>
        <w:jc w:val="both"/>
        <w:rPr>
          <w:rFonts w:ascii="宋体" w:hAnsi="宋体"/>
          <w:color w:val="auto"/>
          <w:sz w:val="24"/>
          <w:szCs w:val="24"/>
          <w:highlight w:val="none"/>
        </w:rPr>
      </w:pPr>
      <w:r>
        <w:rPr>
          <w:rFonts w:hint="eastAsia" w:ascii="宋体" w:hAnsi="宋体" w:cs="宋体"/>
          <w:snapToGrid w:val="0"/>
          <w:color w:val="auto"/>
          <w:sz w:val="24"/>
          <w:szCs w:val="24"/>
          <w:highlight w:val="none"/>
          <w:lang w:val="zh-CN"/>
        </w:rPr>
        <w:t>采购文件规定的其他情形。</w:t>
      </w:r>
    </w:p>
    <w:p w14:paraId="6ECAB129">
      <w:pPr>
        <w:pageBreakBefore w:val="0"/>
        <w:widowControl w:val="0"/>
        <w:numPr>
          <w:ilvl w:val="0"/>
          <w:numId w:val="11"/>
        </w:numPr>
        <w:tabs>
          <w:tab w:val="left" w:pos="360"/>
          <w:tab w:val="left" w:pos="540"/>
          <w:tab w:val="left" w:pos="644"/>
        </w:tabs>
        <w:kinsoku/>
        <w:wordWrap/>
        <w:overflowPunct/>
        <w:topLinePunct w:val="0"/>
        <w:bidi w:val="0"/>
        <w:adjustRightInd w:val="0"/>
        <w:spacing w:after="0" w:line="440" w:lineRule="exact"/>
        <w:ind w:left="540" w:hanging="616" w:hangingChars="257"/>
        <w:jc w:val="both"/>
        <w:outlineLvl w:val="1"/>
        <w:rPr>
          <w:rFonts w:ascii="宋体" w:hAnsi="宋体" w:cs="宋体"/>
          <w:color w:val="auto"/>
          <w:sz w:val="24"/>
          <w:szCs w:val="24"/>
          <w:highlight w:val="none"/>
        </w:rPr>
      </w:pPr>
      <w:r>
        <w:rPr>
          <w:rFonts w:hint="eastAsia" w:ascii="宋体" w:hAnsi="宋体" w:cs="宋体"/>
          <w:color w:val="auto"/>
          <w:sz w:val="24"/>
          <w:szCs w:val="24"/>
          <w:highlight w:val="none"/>
        </w:rPr>
        <w:t>响应文件有效期</w:t>
      </w:r>
    </w:p>
    <w:p w14:paraId="70FB60DC">
      <w:pPr>
        <w:pageBreakBefore w:val="0"/>
        <w:widowControl w:val="0"/>
        <w:numPr>
          <w:ilvl w:val="0"/>
          <w:numId w:val="29"/>
        </w:numPr>
        <w:tabs>
          <w:tab w:val="left" w:pos="709"/>
        </w:tabs>
        <w:kinsoku/>
        <w:wordWrap/>
        <w:overflowPunct/>
        <w:topLinePunct w:val="0"/>
        <w:bidi w:val="0"/>
        <w:spacing w:after="0" w:line="440" w:lineRule="exact"/>
        <w:ind w:left="567" w:hanging="567"/>
        <w:contextualSpacing/>
        <w:jc w:val="both"/>
        <w:rPr>
          <w:rFonts w:ascii="宋体" w:hAnsi="宋体"/>
          <w:color w:val="auto"/>
          <w:sz w:val="24"/>
          <w:szCs w:val="24"/>
          <w:highlight w:val="none"/>
        </w:rPr>
      </w:pPr>
      <w:r>
        <w:rPr>
          <w:rFonts w:hint="eastAsia" w:ascii="宋体" w:hAnsi="宋体" w:cs="宋体"/>
          <w:snapToGrid w:val="0"/>
          <w:color w:val="auto"/>
          <w:sz w:val="24"/>
          <w:szCs w:val="24"/>
          <w:highlight w:val="none"/>
          <w:lang w:val="zh-CN"/>
        </w:rPr>
        <w:t>响应文件有效期从提交响应文件的截止之日起算，本次采购响应文件有效期见《</w:t>
      </w:r>
      <w:r>
        <w:rPr>
          <w:rFonts w:hint="eastAsia" w:ascii="宋体" w:hAnsi="宋体"/>
          <w:color w:val="auto"/>
          <w:sz w:val="24"/>
          <w:szCs w:val="24"/>
          <w:highlight w:val="none"/>
        </w:rPr>
        <w:t>供应商须知前附表》。磋商结束后，在有效期内供应商不得改变磋商报价、服务期及承诺的全部义务。供应商承诺的响应文件有效期不足的，其响应文件将被视为无效文件。</w:t>
      </w:r>
    </w:p>
    <w:p w14:paraId="76BFD892">
      <w:pPr>
        <w:pageBreakBefore w:val="0"/>
        <w:widowControl w:val="0"/>
        <w:numPr>
          <w:ilvl w:val="0"/>
          <w:numId w:val="29"/>
        </w:numPr>
        <w:tabs>
          <w:tab w:val="left" w:pos="709"/>
        </w:tabs>
        <w:kinsoku/>
        <w:wordWrap/>
        <w:overflowPunct/>
        <w:topLinePunct w:val="0"/>
        <w:bidi w:val="0"/>
        <w:spacing w:after="0" w:line="440" w:lineRule="exact"/>
        <w:ind w:left="567" w:hanging="567"/>
        <w:contextualSpacing/>
        <w:jc w:val="both"/>
        <w:rPr>
          <w:rFonts w:ascii="宋体" w:hAnsi="宋体" w:cs="宋体"/>
          <w:snapToGrid w:val="0"/>
          <w:color w:val="auto"/>
          <w:sz w:val="24"/>
          <w:szCs w:val="24"/>
          <w:highlight w:val="none"/>
          <w:lang w:val="zh-CN"/>
        </w:rPr>
      </w:pPr>
      <w:r>
        <w:rPr>
          <w:rFonts w:hint="eastAsia" w:ascii="宋体" w:hAnsi="宋体"/>
          <w:color w:val="auto"/>
          <w:sz w:val="24"/>
          <w:szCs w:val="24"/>
          <w:highlight w:val="none"/>
        </w:rPr>
        <w:t>特殊情</w:t>
      </w:r>
      <w:r>
        <w:rPr>
          <w:rFonts w:hint="eastAsia" w:ascii="宋体" w:hAnsi="宋体" w:cs="宋体"/>
          <w:snapToGrid w:val="0"/>
          <w:color w:val="auto"/>
          <w:sz w:val="24"/>
          <w:szCs w:val="24"/>
          <w:highlight w:val="none"/>
          <w:lang w:val="zh-CN"/>
        </w:rPr>
        <w:t>况下，在原响应文件有效期截止之前，采购代理机构或采购人可要求供应商延长响应文件有效期。需要延长响应文件有效期时，采购代理机构或采购人将以书面形式通知所有供应商，供应商应以书面形式答复是否同意延长响应文件有效期。供应商同意延长的，其磋商保证金有效期相应延长，但不得要求或被允许修改或撤销其响应文件；供应商拒绝延长的，其响应文件在原响应文件有效期满后将不再有效，供应商有权收回其磋商保证金。</w:t>
      </w:r>
    </w:p>
    <w:p w14:paraId="38E45499">
      <w:pPr>
        <w:pageBreakBefore w:val="0"/>
        <w:widowControl w:val="0"/>
        <w:numPr>
          <w:ilvl w:val="0"/>
          <w:numId w:val="29"/>
        </w:numPr>
        <w:tabs>
          <w:tab w:val="left" w:pos="709"/>
        </w:tabs>
        <w:kinsoku/>
        <w:wordWrap/>
        <w:overflowPunct/>
        <w:topLinePunct w:val="0"/>
        <w:bidi w:val="0"/>
        <w:spacing w:after="0" w:line="440" w:lineRule="exact"/>
        <w:ind w:left="567" w:hanging="567"/>
        <w:contextualSpacing/>
        <w:jc w:val="both"/>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供应商同意延长响应文件有效期的，不得要求或被允许修改或撤销其响应文件；供应商拒绝延长的，其响应文件失效，但供应商有权收回其磋商保证金。</w:t>
      </w:r>
    </w:p>
    <w:p w14:paraId="2A8E394A">
      <w:pPr>
        <w:pageBreakBefore w:val="0"/>
        <w:widowControl w:val="0"/>
        <w:numPr>
          <w:ilvl w:val="1"/>
          <w:numId w:val="10"/>
        </w:numPr>
        <w:tabs>
          <w:tab w:val="left" w:pos="540"/>
          <w:tab w:val="left" w:pos="840"/>
        </w:tabs>
        <w:kinsoku/>
        <w:wordWrap/>
        <w:overflowPunct/>
        <w:topLinePunct w:val="0"/>
        <w:bidi w:val="0"/>
        <w:adjustRightInd w:val="0"/>
        <w:spacing w:after="0" w:line="440" w:lineRule="exact"/>
        <w:ind w:left="540" w:hanging="540"/>
        <w:jc w:val="both"/>
        <w:outlineLvl w:val="1"/>
        <w:rPr>
          <w:rFonts w:ascii="宋体" w:hAnsi="宋体" w:cs="宋体"/>
          <w:b/>
          <w:color w:val="auto"/>
          <w:sz w:val="24"/>
          <w:szCs w:val="24"/>
          <w:highlight w:val="none"/>
        </w:rPr>
      </w:pPr>
      <w:r>
        <w:rPr>
          <w:rFonts w:hint="eastAsia" w:ascii="宋体" w:hAnsi="宋体" w:cs="宋体"/>
          <w:b/>
          <w:color w:val="auto"/>
          <w:sz w:val="24"/>
          <w:szCs w:val="24"/>
          <w:highlight w:val="none"/>
        </w:rPr>
        <w:t>响应文件形式、样品及递交</w:t>
      </w:r>
    </w:p>
    <w:p w14:paraId="2D389F34">
      <w:pPr>
        <w:pageBreakBefore w:val="0"/>
        <w:widowControl w:val="0"/>
        <w:numPr>
          <w:ilvl w:val="0"/>
          <w:numId w:val="11"/>
        </w:numPr>
        <w:tabs>
          <w:tab w:val="left" w:pos="360"/>
          <w:tab w:val="left" w:pos="644"/>
        </w:tabs>
        <w:kinsoku/>
        <w:wordWrap/>
        <w:overflowPunct/>
        <w:topLinePunct w:val="0"/>
        <w:bidi w:val="0"/>
        <w:adjustRightInd w:val="0"/>
        <w:spacing w:after="0" w:line="440" w:lineRule="exact"/>
        <w:ind w:left="426" w:hanging="487" w:hangingChars="202"/>
        <w:jc w:val="both"/>
        <w:outlineLvl w:val="1"/>
        <w:rPr>
          <w:rFonts w:ascii="宋体" w:hAnsi="宋体" w:cs="宋体"/>
          <w:snapToGrid w:val="0"/>
          <w:color w:val="auto"/>
          <w:sz w:val="24"/>
          <w:szCs w:val="24"/>
          <w:highlight w:val="none"/>
        </w:rPr>
      </w:pPr>
      <w:r>
        <w:rPr>
          <w:rFonts w:hint="eastAsia" w:ascii="宋体" w:hAnsi="宋体" w:cs="宋体"/>
          <w:b/>
          <w:snapToGrid w:val="0"/>
          <w:color w:val="auto"/>
          <w:sz w:val="24"/>
          <w:szCs w:val="24"/>
          <w:highlight w:val="none"/>
        </w:rPr>
        <w:t>响应文件包括电子响应文件与纸质响应文件（指采购文件规定接收纸质响应文件的情况）两种形式如有不一致，以电子响应文件为准</w:t>
      </w:r>
      <w:r>
        <w:rPr>
          <w:rFonts w:hint="eastAsia" w:ascii="宋体" w:hAnsi="宋体" w:cs="宋体"/>
          <w:snapToGrid w:val="0"/>
          <w:color w:val="auto"/>
          <w:sz w:val="24"/>
          <w:szCs w:val="24"/>
          <w:highlight w:val="none"/>
        </w:rPr>
        <w:t>。本项目要求供应商递交的响应文件形式详见《供应商须知前附表》。</w:t>
      </w:r>
      <w:r>
        <w:rPr>
          <w:rFonts w:hint="eastAsia" w:ascii="宋体" w:hAnsi="宋体" w:cs="宋体"/>
          <w:b/>
          <w:snapToGrid w:val="0"/>
          <w:color w:val="auto"/>
          <w:sz w:val="24"/>
          <w:szCs w:val="24"/>
          <w:highlight w:val="none"/>
        </w:rPr>
        <w:t>供应商未按规定形式要求递交响应文件的，或采购文件规定须同时递交两种形式响应文件但供应商只递交了其中一种的，将均被视作无效响应</w:t>
      </w:r>
      <w:r>
        <w:rPr>
          <w:rFonts w:hint="eastAsia" w:ascii="宋体" w:hAnsi="宋体" w:cs="宋体"/>
          <w:snapToGrid w:val="0"/>
          <w:color w:val="auto"/>
          <w:sz w:val="24"/>
          <w:szCs w:val="24"/>
          <w:highlight w:val="none"/>
        </w:rPr>
        <w:t>。</w:t>
      </w:r>
    </w:p>
    <w:p w14:paraId="70406721">
      <w:pPr>
        <w:pageBreakBefore w:val="0"/>
        <w:widowControl w:val="0"/>
        <w:numPr>
          <w:ilvl w:val="0"/>
          <w:numId w:val="30"/>
        </w:numPr>
        <w:tabs>
          <w:tab w:val="left" w:pos="709"/>
        </w:tabs>
        <w:kinsoku/>
        <w:wordWrap/>
        <w:overflowPunct/>
        <w:topLinePunct w:val="0"/>
        <w:bidi w:val="0"/>
        <w:spacing w:after="0" w:line="440" w:lineRule="exact"/>
        <w:ind w:left="567" w:hanging="567"/>
        <w:contextualSpacing/>
        <w:jc w:val="both"/>
        <w:rPr>
          <w:rFonts w:ascii="宋体" w:hAnsi="宋体" w:cs="宋体"/>
          <w:color w:val="auto"/>
          <w:sz w:val="24"/>
          <w:szCs w:val="24"/>
          <w:highlight w:val="none"/>
        </w:rPr>
      </w:pPr>
      <w:r>
        <w:rPr>
          <w:rFonts w:hint="eastAsia" w:ascii="宋体" w:hAnsi="宋体" w:cs="宋体"/>
          <w:b/>
          <w:color w:val="auto"/>
          <w:sz w:val="24"/>
          <w:szCs w:val="24"/>
          <w:highlight w:val="none"/>
        </w:rPr>
        <w:t>电子响应文件</w:t>
      </w:r>
      <w:r>
        <w:rPr>
          <w:rFonts w:hint="eastAsia" w:ascii="宋体" w:hAnsi="宋体" w:cs="宋体"/>
          <w:color w:val="auto"/>
          <w:sz w:val="24"/>
          <w:szCs w:val="24"/>
          <w:highlight w:val="none"/>
        </w:rPr>
        <w:t>。</w:t>
      </w:r>
    </w:p>
    <w:p w14:paraId="71C143A3">
      <w:pPr>
        <w:pageBreakBefore w:val="0"/>
        <w:widowControl w:val="0"/>
        <w:tabs>
          <w:tab w:val="left" w:pos="709"/>
        </w:tabs>
        <w:kinsoku/>
        <w:wordWrap/>
        <w:overflowPunct/>
        <w:topLinePunct w:val="0"/>
        <w:bidi w:val="0"/>
        <w:spacing w:after="0" w:line="440" w:lineRule="exact"/>
        <w:ind w:left="629" w:firstLine="480" w:firstLineChars="200"/>
        <w:contextualSpacing/>
        <w:jc w:val="both"/>
        <w:rPr>
          <w:rFonts w:ascii="宋体" w:hAnsi="宋体" w:cs="宋体"/>
          <w:color w:val="auto"/>
          <w:sz w:val="24"/>
          <w:szCs w:val="24"/>
          <w:highlight w:val="none"/>
        </w:rPr>
      </w:pPr>
      <w:r>
        <w:rPr>
          <w:rFonts w:hint="eastAsia" w:ascii="宋体" w:hAnsi="宋体"/>
          <w:color w:val="auto"/>
          <w:sz w:val="24"/>
          <w:szCs w:val="24"/>
          <w:highlight w:val="none"/>
        </w:rPr>
        <w:t>电子响应文件由供应商在“电子交易平台”在线编制及</w:t>
      </w:r>
      <w:r>
        <w:rPr>
          <w:rFonts w:ascii="宋体" w:hAnsi="宋体"/>
          <w:color w:val="auto"/>
          <w:sz w:val="24"/>
          <w:szCs w:val="24"/>
          <w:highlight w:val="none"/>
        </w:rPr>
        <w:t>签章、加密</w:t>
      </w:r>
      <w:r>
        <w:rPr>
          <w:rFonts w:hint="eastAsia" w:ascii="宋体" w:hAnsi="宋体"/>
          <w:color w:val="auto"/>
          <w:sz w:val="24"/>
          <w:szCs w:val="24"/>
          <w:highlight w:val="none"/>
        </w:rPr>
        <w:t>后</w:t>
      </w:r>
      <w:r>
        <w:rPr>
          <w:rFonts w:ascii="宋体" w:hAnsi="宋体"/>
          <w:color w:val="auto"/>
          <w:sz w:val="24"/>
          <w:szCs w:val="24"/>
          <w:highlight w:val="none"/>
        </w:rPr>
        <w:t>生成</w:t>
      </w:r>
      <w:r>
        <w:rPr>
          <w:rFonts w:hint="eastAsia" w:ascii="宋体" w:hAnsi="宋体"/>
          <w:color w:val="auto"/>
          <w:sz w:val="24"/>
          <w:szCs w:val="24"/>
          <w:highlight w:val="none"/>
        </w:rPr>
        <w:t>，并在规定截止时间前上传到“电子交易平台”：</w:t>
      </w:r>
    </w:p>
    <w:p w14:paraId="1E4CBEBA">
      <w:pPr>
        <w:pageBreakBefore w:val="0"/>
        <w:numPr>
          <w:ilvl w:val="0"/>
          <w:numId w:val="31"/>
        </w:numPr>
        <w:tabs>
          <w:tab w:val="left" w:pos="540"/>
          <w:tab w:val="left" w:pos="2040"/>
        </w:tabs>
        <w:kinsoku/>
        <w:wordWrap/>
        <w:overflowPunct/>
        <w:topLinePunct w:val="0"/>
        <w:autoSpaceDE w:val="0"/>
        <w:autoSpaceDN w:val="0"/>
        <w:bidi w:val="0"/>
        <w:adjustRightInd w:val="0"/>
        <w:spacing w:after="0" w:line="440" w:lineRule="exact"/>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供应商在编制电子响应文件时应按照评审条款逐一对应相关响应材料。</w:t>
      </w:r>
    </w:p>
    <w:p w14:paraId="013D9873">
      <w:pPr>
        <w:pageBreakBefore w:val="0"/>
        <w:numPr>
          <w:ilvl w:val="0"/>
          <w:numId w:val="31"/>
        </w:numPr>
        <w:tabs>
          <w:tab w:val="left" w:pos="540"/>
          <w:tab w:val="left" w:pos="2040"/>
        </w:tabs>
        <w:kinsoku/>
        <w:wordWrap/>
        <w:overflowPunct/>
        <w:topLinePunct w:val="0"/>
        <w:autoSpaceDE w:val="0"/>
        <w:autoSpaceDN w:val="0"/>
        <w:bidi w:val="0"/>
        <w:adjustRightInd w:val="0"/>
        <w:spacing w:after="0" w:line="440" w:lineRule="exact"/>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电子响应文件中的证明资料的“复印件”均为原件扫描件加盖电子签章。</w:t>
      </w:r>
    </w:p>
    <w:p w14:paraId="42F0442C">
      <w:pPr>
        <w:pageBreakBefore w:val="0"/>
        <w:numPr>
          <w:ilvl w:val="0"/>
          <w:numId w:val="31"/>
        </w:numPr>
        <w:tabs>
          <w:tab w:val="left" w:pos="540"/>
          <w:tab w:val="left" w:pos="2040"/>
        </w:tabs>
        <w:kinsoku/>
        <w:wordWrap/>
        <w:overflowPunct/>
        <w:topLinePunct w:val="0"/>
        <w:autoSpaceDE w:val="0"/>
        <w:autoSpaceDN w:val="0"/>
        <w:bidi w:val="0"/>
        <w:adjustRightInd w:val="0"/>
        <w:spacing w:after="0" w:line="440" w:lineRule="exact"/>
        <w:rPr>
          <w:rFonts w:ascii="宋体" w:hAnsi="宋体" w:cs="宋体"/>
          <w:snapToGrid w:val="0"/>
          <w:color w:val="auto"/>
          <w:sz w:val="24"/>
          <w:szCs w:val="24"/>
          <w:highlight w:val="none"/>
          <w:lang w:val="zh-CN"/>
        </w:rPr>
      </w:pPr>
      <w:r>
        <w:rPr>
          <w:rFonts w:hint="eastAsia" w:ascii="宋体" w:hAnsi="宋体" w:cs="宋体"/>
          <w:b/>
          <w:snapToGrid w:val="0"/>
          <w:color w:val="auto"/>
          <w:sz w:val="24"/>
          <w:szCs w:val="24"/>
          <w:highlight w:val="none"/>
          <w:lang w:val="zh-CN"/>
        </w:rPr>
        <w:t>响应文件格式文件要求供应商“盖单位章”、“公章”的地方，供应商应使用CA 数字证书加盖供应商的单位电子印章</w:t>
      </w:r>
      <w:r>
        <w:rPr>
          <w:rFonts w:hint="eastAsia" w:ascii="宋体" w:hAnsi="宋体" w:cs="宋体"/>
          <w:snapToGrid w:val="0"/>
          <w:color w:val="auto"/>
          <w:sz w:val="24"/>
          <w:szCs w:val="24"/>
          <w:highlight w:val="none"/>
          <w:lang w:val="zh-CN"/>
        </w:rPr>
        <w:t>。</w:t>
      </w:r>
    </w:p>
    <w:p w14:paraId="167422B7">
      <w:pPr>
        <w:pageBreakBefore w:val="0"/>
        <w:numPr>
          <w:ilvl w:val="0"/>
          <w:numId w:val="31"/>
        </w:numPr>
        <w:tabs>
          <w:tab w:val="left" w:pos="540"/>
          <w:tab w:val="left" w:pos="2040"/>
        </w:tabs>
        <w:kinsoku/>
        <w:wordWrap/>
        <w:overflowPunct/>
        <w:topLinePunct w:val="0"/>
        <w:autoSpaceDE w:val="0"/>
        <w:autoSpaceDN w:val="0"/>
        <w:bidi w:val="0"/>
        <w:adjustRightInd w:val="0"/>
        <w:spacing w:after="0" w:line="440" w:lineRule="exact"/>
        <w:rPr>
          <w:rFonts w:ascii="宋体" w:hAnsi="宋体" w:cs="宋体"/>
          <w:snapToGrid w:val="0"/>
          <w:color w:val="auto"/>
          <w:sz w:val="24"/>
          <w:szCs w:val="24"/>
          <w:highlight w:val="none"/>
          <w:lang w:val="zh-CN"/>
        </w:rPr>
      </w:pPr>
      <w:r>
        <w:rPr>
          <w:rFonts w:hint="eastAsia" w:ascii="宋体" w:hAnsi="宋体" w:cs="宋体"/>
          <w:b/>
          <w:snapToGrid w:val="0"/>
          <w:color w:val="auto"/>
          <w:sz w:val="24"/>
          <w:szCs w:val="24"/>
          <w:highlight w:val="none"/>
          <w:lang w:val="zh-CN"/>
        </w:rPr>
        <w:t>电子响应文件格式文件要求法定代表人“签字”、“签名”的地方，供应商应使用CA 数字证书加盖法定代表人的个人电子印章或电子签名章</w:t>
      </w:r>
      <w:r>
        <w:rPr>
          <w:rFonts w:hint="eastAsia" w:ascii="宋体" w:hAnsi="宋体" w:cs="宋体"/>
          <w:snapToGrid w:val="0"/>
          <w:color w:val="auto"/>
          <w:sz w:val="24"/>
          <w:szCs w:val="24"/>
          <w:highlight w:val="none"/>
          <w:lang w:val="zh-CN"/>
        </w:rPr>
        <w:t>。因“电子交易平台”未要求授权代表办理CA数字证书，“法定代表人</w:t>
      </w:r>
      <w:r>
        <w:rPr>
          <w:rFonts w:ascii="宋体" w:hAnsi="宋体" w:cs="宋体"/>
          <w:snapToGrid w:val="0"/>
          <w:color w:val="auto"/>
          <w:sz w:val="24"/>
          <w:szCs w:val="24"/>
          <w:highlight w:val="none"/>
          <w:lang w:val="zh-CN"/>
        </w:rPr>
        <w:t>授权委托书</w:t>
      </w:r>
      <w:r>
        <w:rPr>
          <w:rFonts w:hint="eastAsia" w:ascii="宋体" w:hAnsi="宋体" w:cs="宋体"/>
          <w:snapToGrid w:val="0"/>
          <w:color w:val="auto"/>
          <w:sz w:val="24"/>
          <w:szCs w:val="24"/>
          <w:highlight w:val="none"/>
          <w:lang w:val="zh-CN"/>
        </w:rPr>
        <w:t>”中</w:t>
      </w:r>
      <w:r>
        <w:rPr>
          <w:rFonts w:ascii="宋体" w:hAnsi="宋体" w:cs="宋体"/>
          <w:snapToGrid w:val="0"/>
          <w:color w:val="auto"/>
          <w:sz w:val="24"/>
          <w:szCs w:val="24"/>
          <w:highlight w:val="none"/>
          <w:lang w:val="zh-CN"/>
        </w:rPr>
        <w:t>的</w:t>
      </w:r>
      <w:r>
        <w:rPr>
          <w:rFonts w:hint="eastAsia" w:ascii="宋体" w:hAnsi="宋体" w:cs="宋体"/>
          <w:snapToGrid w:val="0"/>
          <w:color w:val="auto"/>
          <w:sz w:val="24"/>
          <w:szCs w:val="24"/>
          <w:highlight w:val="none"/>
          <w:lang w:val="zh-CN"/>
        </w:rPr>
        <w:t>“授权代表”处可以由</w:t>
      </w:r>
      <w:r>
        <w:rPr>
          <w:rFonts w:ascii="宋体" w:hAnsi="宋体" w:cs="宋体"/>
          <w:snapToGrid w:val="0"/>
          <w:color w:val="auto"/>
          <w:sz w:val="24"/>
          <w:szCs w:val="24"/>
          <w:highlight w:val="none"/>
          <w:lang w:val="zh-CN"/>
        </w:rPr>
        <w:t>授权代表</w:t>
      </w:r>
      <w:r>
        <w:rPr>
          <w:rFonts w:hint="eastAsia" w:ascii="宋体" w:hAnsi="宋体" w:cs="宋体"/>
          <w:snapToGrid w:val="0"/>
          <w:color w:val="auto"/>
          <w:sz w:val="24"/>
          <w:szCs w:val="24"/>
          <w:highlight w:val="none"/>
          <w:lang w:val="zh-CN"/>
        </w:rPr>
        <w:t>签名后扫描上传，或直接打印授权代表姓名，无需授权代表电子签章。</w:t>
      </w:r>
    </w:p>
    <w:p w14:paraId="006496A8">
      <w:pPr>
        <w:pageBreakBefore w:val="0"/>
        <w:numPr>
          <w:ilvl w:val="0"/>
          <w:numId w:val="31"/>
        </w:numPr>
        <w:tabs>
          <w:tab w:val="left" w:pos="540"/>
          <w:tab w:val="left" w:pos="2040"/>
        </w:tabs>
        <w:kinsoku/>
        <w:wordWrap/>
        <w:overflowPunct/>
        <w:topLinePunct w:val="0"/>
        <w:autoSpaceDE w:val="0"/>
        <w:autoSpaceDN w:val="0"/>
        <w:bidi w:val="0"/>
        <w:adjustRightInd w:val="0"/>
        <w:spacing w:after="0" w:line="440" w:lineRule="exact"/>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证明材料中要求有其他单位盖章或签名的地方（如制造商授权书、检测报告等），供应商应提供“盖章（签名）原件的扫描件”。</w:t>
      </w:r>
    </w:p>
    <w:p w14:paraId="2DF46C25">
      <w:pPr>
        <w:pageBreakBefore w:val="0"/>
        <w:numPr>
          <w:ilvl w:val="0"/>
          <w:numId w:val="31"/>
        </w:numPr>
        <w:tabs>
          <w:tab w:val="left" w:pos="540"/>
          <w:tab w:val="left" w:pos="2040"/>
        </w:tabs>
        <w:kinsoku/>
        <w:wordWrap/>
        <w:overflowPunct/>
        <w:topLinePunct w:val="0"/>
        <w:autoSpaceDE w:val="0"/>
        <w:autoSpaceDN w:val="0"/>
        <w:bidi w:val="0"/>
        <w:adjustRightInd w:val="0"/>
        <w:spacing w:after="0" w:line="440" w:lineRule="exact"/>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联合体参与响应的，响应文件由联合体牵头人按上述规定在要求“盖单位章”的地方加盖联合体牵头人单位电子印章；在要求“签名”的地方加盖联合体牵头人法定代表人的个人电子印章或电子签名章。</w:t>
      </w:r>
    </w:p>
    <w:p w14:paraId="14E59B5E">
      <w:pPr>
        <w:pageBreakBefore w:val="0"/>
        <w:numPr>
          <w:ilvl w:val="0"/>
          <w:numId w:val="31"/>
        </w:numPr>
        <w:tabs>
          <w:tab w:val="left" w:pos="540"/>
          <w:tab w:val="left" w:pos="2040"/>
        </w:tabs>
        <w:kinsoku/>
        <w:wordWrap/>
        <w:overflowPunct/>
        <w:topLinePunct w:val="0"/>
        <w:autoSpaceDE w:val="0"/>
        <w:autoSpaceDN w:val="0"/>
        <w:bidi w:val="0"/>
        <w:adjustRightInd w:val="0"/>
        <w:spacing w:after="0" w:line="440" w:lineRule="exact"/>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为了保证系统处理效率，制作证明材料扫描件时，供应商在保证可辨认清晰度情况下扫描时应尽量降低扫描分辨率（对于以文字为主的文件扫描，建议最高200DPI；对于图片为主且颜色丰富的文件，建议最高300DPI），输出为JPG文件格式，再粘贴至word，以减少成稿文件的容量大小。</w:t>
      </w:r>
    </w:p>
    <w:p w14:paraId="4786116E">
      <w:pPr>
        <w:pageBreakBefore w:val="0"/>
        <w:numPr>
          <w:ilvl w:val="0"/>
          <w:numId w:val="31"/>
        </w:numPr>
        <w:tabs>
          <w:tab w:val="left" w:pos="540"/>
          <w:tab w:val="left" w:pos="2040"/>
        </w:tabs>
        <w:kinsoku/>
        <w:wordWrap/>
        <w:overflowPunct/>
        <w:topLinePunct w:val="0"/>
        <w:autoSpaceDE w:val="0"/>
        <w:autoSpaceDN w:val="0"/>
        <w:bidi w:val="0"/>
        <w:adjustRightInd w:val="0"/>
        <w:spacing w:after="0" w:line="440" w:lineRule="exact"/>
        <w:rPr>
          <w:rFonts w:ascii="宋体" w:hAnsi="宋体"/>
          <w:color w:val="auto"/>
          <w:sz w:val="24"/>
          <w:szCs w:val="24"/>
          <w:highlight w:val="none"/>
        </w:rPr>
      </w:pPr>
      <w:r>
        <w:rPr>
          <w:rFonts w:hint="eastAsia" w:ascii="宋体" w:hAnsi="宋体" w:cs="宋体"/>
          <w:snapToGrid w:val="0"/>
          <w:color w:val="auto"/>
          <w:sz w:val="24"/>
          <w:szCs w:val="24"/>
          <w:highlight w:val="none"/>
          <w:lang w:val="zh-CN"/>
        </w:rPr>
        <w:t>为了保证系统整体效率，系统对所提交的电子响应文件有容量的限制（</w:t>
      </w:r>
      <w:r>
        <w:rPr>
          <w:rFonts w:hint="eastAsia" w:ascii="宋体" w:hAnsi="宋体" w:cs="宋体"/>
          <w:b/>
          <w:snapToGrid w:val="0"/>
          <w:color w:val="auto"/>
          <w:sz w:val="24"/>
          <w:szCs w:val="24"/>
          <w:highlight w:val="none"/>
          <w:lang w:val="zh-CN"/>
        </w:rPr>
        <w:t>生成的</w:t>
      </w:r>
      <w:r>
        <w:rPr>
          <w:rFonts w:ascii="宋体" w:hAnsi="宋体" w:cs="宋体"/>
          <w:b/>
          <w:snapToGrid w:val="0"/>
          <w:color w:val="auto"/>
          <w:sz w:val="24"/>
          <w:szCs w:val="24"/>
          <w:highlight w:val="none"/>
          <w:lang w:val="zh-CN"/>
        </w:rPr>
        <w:t>TBJ</w:t>
      </w:r>
      <w:r>
        <w:rPr>
          <w:rFonts w:hint="eastAsia" w:ascii="宋体" w:hAnsi="宋体" w:cs="宋体"/>
          <w:b/>
          <w:snapToGrid w:val="0"/>
          <w:color w:val="auto"/>
          <w:sz w:val="24"/>
          <w:szCs w:val="24"/>
          <w:highlight w:val="none"/>
          <w:lang w:val="zh-CN"/>
        </w:rPr>
        <w:t>格式响应文件应不大于200M</w:t>
      </w:r>
      <w:r>
        <w:rPr>
          <w:rFonts w:hint="eastAsia" w:ascii="宋体" w:hAnsi="宋体" w:cs="宋体"/>
          <w:snapToGrid w:val="0"/>
          <w:color w:val="auto"/>
          <w:sz w:val="24"/>
          <w:szCs w:val="24"/>
          <w:highlight w:val="none"/>
          <w:lang w:val="zh-CN"/>
        </w:rPr>
        <w:t>），因此，供应商应尽可能降低本文件的大小，小尺寸响应文件将使</w:t>
      </w:r>
      <w:r>
        <w:rPr>
          <w:rFonts w:hint="eastAsia" w:ascii="宋体" w:hAnsi="宋体"/>
          <w:color w:val="auto"/>
          <w:sz w:val="24"/>
          <w:szCs w:val="24"/>
          <w:highlight w:val="none"/>
        </w:rPr>
        <w:t>递交更快捷、减少差错发生几率，避免响应截止时间前未能完整上传响应文件。</w:t>
      </w:r>
    </w:p>
    <w:p w14:paraId="20E9D444">
      <w:pPr>
        <w:pageBreakBefore w:val="0"/>
        <w:numPr>
          <w:ilvl w:val="0"/>
          <w:numId w:val="31"/>
        </w:numPr>
        <w:tabs>
          <w:tab w:val="left" w:pos="540"/>
          <w:tab w:val="left" w:pos="2040"/>
        </w:tabs>
        <w:kinsoku/>
        <w:wordWrap/>
        <w:overflowPunct/>
        <w:topLinePunct w:val="0"/>
        <w:autoSpaceDE w:val="0"/>
        <w:autoSpaceDN w:val="0"/>
        <w:bidi w:val="0"/>
        <w:adjustRightInd w:val="0"/>
        <w:spacing w:after="0" w:line="440" w:lineRule="exact"/>
        <w:rPr>
          <w:rFonts w:ascii="宋体" w:hAnsi="宋体"/>
          <w:color w:val="auto"/>
          <w:sz w:val="24"/>
          <w:szCs w:val="24"/>
          <w:highlight w:val="none"/>
        </w:rPr>
      </w:pPr>
      <w:r>
        <w:rPr>
          <w:rFonts w:hint="eastAsia" w:ascii="宋体" w:hAnsi="宋体"/>
          <w:color w:val="auto"/>
          <w:sz w:val="24"/>
          <w:szCs w:val="24"/>
          <w:highlight w:val="none"/>
        </w:rPr>
        <w:t>响应文件经在线编制及签章、加密后，生成终版电子响应文件（后缀名为.TBJ）。</w:t>
      </w:r>
    </w:p>
    <w:p w14:paraId="7D579035">
      <w:pPr>
        <w:pageBreakBefore w:val="0"/>
        <w:widowControl w:val="0"/>
        <w:numPr>
          <w:ilvl w:val="0"/>
          <w:numId w:val="30"/>
        </w:numPr>
        <w:tabs>
          <w:tab w:val="left" w:pos="720"/>
        </w:tabs>
        <w:kinsoku/>
        <w:wordWrap/>
        <w:overflowPunct/>
        <w:topLinePunct w:val="0"/>
        <w:bidi w:val="0"/>
        <w:spacing w:after="0" w:line="440" w:lineRule="exact"/>
        <w:ind w:hanging="630"/>
        <w:contextualSpacing/>
        <w:jc w:val="both"/>
        <w:rPr>
          <w:rFonts w:ascii="宋体" w:hAnsi="宋体" w:cs="宋体"/>
          <w:snapToGrid w:val="0"/>
          <w:color w:val="auto"/>
          <w:sz w:val="24"/>
          <w:szCs w:val="24"/>
          <w:highlight w:val="none"/>
        </w:rPr>
      </w:pPr>
      <w:r>
        <w:rPr>
          <w:rFonts w:hint="eastAsia" w:ascii="宋体" w:hAnsi="宋体" w:cs="宋体"/>
          <w:b/>
          <w:color w:val="auto"/>
          <w:sz w:val="24"/>
          <w:szCs w:val="24"/>
          <w:highlight w:val="none"/>
        </w:rPr>
        <w:t>纸质响应文件</w:t>
      </w:r>
      <w:r>
        <w:rPr>
          <w:rFonts w:hint="eastAsia" w:ascii="宋体" w:hAnsi="宋体" w:cs="宋体"/>
          <w:color w:val="auto"/>
          <w:sz w:val="24"/>
          <w:szCs w:val="24"/>
          <w:highlight w:val="none"/>
        </w:rPr>
        <w:t>。</w:t>
      </w:r>
    </w:p>
    <w:p w14:paraId="23444CFF">
      <w:pPr>
        <w:pageBreakBefore w:val="0"/>
        <w:widowControl w:val="0"/>
        <w:numPr>
          <w:ilvl w:val="0"/>
          <w:numId w:val="32"/>
        </w:numPr>
        <w:kinsoku/>
        <w:wordWrap/>
        <w:overflowPunct/>
        <w:topLinePunct w:val="0"/>
        <w:autoSpaceDE w:val="0"/>
        <w:autoSpaceDN w:val="0"/>
        <w:bidi w:val="0"/>
        <w:adjustRightInd w:val="0"/>
        <w:spacing w:after="0" w:line="440" w:lineRule="exact"/>
        <w:ind w:left="567" w:hanging="283"/>
        <w:jc w:val="both"/>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lang w:val="zh-CN"/>
        </w:rPr>
        <w:t>本项目是否接收接收纸质响应文件备用详见</w:t>
      </w:r>
      <w:r>
        <w:rPr>
          <w:rFonts w:hint="eastAsia" w:ascii="宋体" w:hAnsi="宋体" w:cs="宋体"/>
          <w:snapToGrid w:val="0"/>
          <w:color w:val="auto"/>
          <w:sz w:val="24"/>
          <w:szCs w:val="24"/>
          <w:highlight w:val="none"/>
        </w:rPr>
        <w:t>《供应商须知前附表》</w:t>
      </w:r>
      <w:r>
        <w:rPr>
          <w:rFonts w:hint="eastAsia" w:ascii="宋体" w:hAnsi="宋体" w:cs="宋体"/>
          <w:snapToGrid w:val="0"/>
          <w:color w:val="auto"/>
          <w:sz w:val="24"/>
          <w:szCs w:val="24"/>
          <w:highlight w:val="none"/>
          <w:lang w:val="zh-CN"/>
        </w:rPr>
        <w:t>。纸质响应文件由电子响应文件打印生成</w:t>
      </w:r>
      <w:r>
        <w:rPr>
          <w:rFonts w:hint="eastAsia" w:ascii="宋体" w:hAnsi="宋体" w:cs="宋体"/>
          <w:color w:val="auto"/>
          <w:sz w:val="24"/>
          <w:szCs w:val="24"/>
          <w:highlight w:val="none"/>
        </w:rPr>
        <w:t>，</w:t>
      </w:r>
      <w:r>
        <w:rPr>
          <w:rFonts w:hint="eastAsia" w:ascii="宋体" w:hAnsi="宋体" w:cs="宋体"/>
          <w:snapToGrid w:val="0"/>
          <w:color w:val="auto"/>
          <w:sz w:val="24"/>
          <w:szCs w:val="24"/>
          <w:highlight w:val="none"/>
          <w:lang w:val="zh-CN"/>
        </w:rPr>
        <w:t>响应文件用纸应统一为A4规格（图纸、效果图等除外）。</w:t>
      </w:r>
    </w:p>
    <w:p w14:paraId="0E4AA356">
      <w:pPr>
        <w:pageBreakBefore w:val="0"/>
        <w:widowControl w:val="0"/>
        <w:numPr>
          <w:ilvl w:val="0"/>
          <w:numId w:val="32"/>
        </w:numPr>
        <w:kinsoku/>
        <w:wordWrap/>
        <w:overflowPunct/>
        <w:topLinePunct w:val="0"/>
        <w:autoSpaceDE w:val="0"/>
        <w:autoSpaceDN w:val="0"/>
        <w:bidi w:val="0"/>
        <w:adjustRightInd w:val="0"/>
        <w:spacing w:after="0" w:line="440" w:lineRule="exact"/>
        <w:ind w:left="567" w:hanging="283"/>
        <w:jc w:val="both"/>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纸质响应文件正、副本的数量见《供应商须知前附表》，响应文件须清楚地标明“正本”、“副本”，副本可采用正本的复印件。若副本与正本不符，以正本为准；</w:t>
      </w:r>
    </w:p>
    <w:p w14:paraId="6068E5C5">
      <w:pPr>
        <w:pageBreakBefore w:val="0"/>
        <w:widowControl w:val="0"/>
        <w:numPr>
          <w:ilvl w:val="0"/>
          <w:numId w:val="32"/>
        </w:numPr>
        <w:kinsoku/>
        <w:wordWrap/>
        <w:overflowPunct/>
        <w:topLinePunct w:val="0"/>
        <w:autoSpaceDE w:val="0"/>
        <w:autoSpaceDN w:val="0"/>
        <w:bidi w:val="0"/>
        <w:adjustRightInd w:val="0"/>
        <w:spacing w:after="0" w:line="440" w:lineRule="exact"/>
        <w:ind w:left="567" w:hanging="283"/>
        <w:jc w:val="both"/>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正本需打印或用不褪色墨水书写，并由法定代表人或授权代表（签名）并加盖公章。由授权代表（签名）的，响应文件中应提交《法定代表人授权书》。供应商为自然人的，由供应商本人签名并附身份证明。</w:t>
      </w:r>
    </w:p>
    <w:p w14:paraId="33439401">
      <w:pPr>
        <w:pageBreakBefore w:val="0"/>
        <w:widowControl w:val="0"/>
        <w:numPr>
          <w:ilvl w:val="0"/>
          <w:numId w:val="32"/>
        </w:numPr>
        <w:kinsoku/>
        <w:wordWrap/>
        <w:overflowPunct/>
        <w:topLinePunct w:val="0"/>
        <w:autoSpaceDE w:val="0"/>
        <w:autoSpaceDN w:val="0"/>
        <w:bidi w:val="0"/>
        <w:adjustRightInd w:val="0"/>
        <w:spacing w:after="0" w:line="440" w:lineRule="exact"/>
        <w:ind w:left="567" w:hanging="283"/>
        <w:jc w:val="both"/>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纸质响应文件应当采用不可拆卸的方法的装订，对未经装订的响应文件可能发生的文件散落或缺损及由此产生的后果由供应商承担。</w:t>
      </w:r>
    </w:p>
    <w:p w14:paraId="4291B13F">
      <w:pPr>
        <w:pageBreakBefore w:val="0"/>
        <w:widowControl w:val="0"/>
        <w:numPr>
          <w:ilvl w:val="0"/>
          <w:numId w:val="32"/>
        </w:numPr>
        <w:kinsoku/>
        <w:wordWrap/>
        <w:overflowPunct/>
        <w:topLinePunct w:val="0"/>
        <w:autoSpaceDE w:val="0"/>
        <w:autoSpaceDN w:val="0"/>
        <w:bidi w:val="0"/>
        <w:adjustRightInd w:val="0"/>
        <w:spacing w:after="0" w:line="440" w:lineRule="exact"/>
        <w:ind w:left="567" w:hanging="283"/>
        <w:jc w:val="both"/>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纸质响应文件应进行密封包装，封包加盖供应商公章，并注明项目编号、项目名称、供应商名称及“（**时间）前不得启封”的字样。</w:t>
      </w:r>
    </w:p>
    <w:p w14:paraId="6A499148">
      <w:pPr>
        <w:pageBreakBefore w:val="0"/>
        <w:widowControl w:val="0"/>
        <w:numPr>
          <w:ilvl w:val="0"/>
          <w:numId w:val="32"/>
        </w:numPr>
        <w:kinsoku/>
        <w:wordWrap/>
        <w:overflowPunct/>
        <w:topLinePunct w:val="0"/>
        <w:autoSpaceDE w:val="0"/>
        <w:autoSpaceDN w:val="0"/>
        <w:bidi w:val="0"/>
        <w:adjustRightInd w:val="0"/>
        <w:spacing w:after="0" w:line="440" w:lineRule="exact"/>
        <w:ind w:left="567" w:hanging="283"/>
        <w:jc w:val="both"/>
        <w:rPr>
          <w:rFonts w:ascii="宋体" w:hAnsi="宋体" w:cs="宋体"/>
          <w:snapToGrid w:val="0"/>
          <w:color w:val="auto"/>
          <w:sz w:val="24"/>
          <w:szCs w:val="24"/>
          <w:highlight w:val="none"/>
          <w:lang w:val="zh-CN"/>
        </w:rPr>
      </w:pPr>
      <w:r>
        <w:rPr>
          <w:rFonts w:hint="eastAsia" w:ascii="宋体" w:hAnsi="宋体"/>
          <w:color w:val="auto"/>
          <w:sz w:val="24"/>
          <w:szCs w:val="24"/>
          <w:highlight w:val="none"/>
        </w:rPr>
        <w:t>如果未按要求加写标记的，采购代理机构对其误投或提前启封概不负责</w:t>
      </w:r>
      <w:r>
        <w:rPr>
          <w:rFonts w:hint="eastAsia" w:ascii="宋体" w:hAnsi="宋体"/>
          <w:color w:val="auto"/>
          <w:sz w:val="24"/>
          <w:szCs w:val="24"/>
          <w:highlight w:val="none"/>
          <w:lang w:val="zh-CN"/>
        </w:rPr>
        <w:t>。</w:t>
      </w:r>
    </w:p>
    <w:p w14:paraId="2357575E">
      <w:pPr>
        <w:pageBreakBefore w:val="0"/>
        <w:widowControl w:val="0"/>
        <w:numPr>
          <w:ilvl w:val="0"/>
          <w:numId w:val="11"/>
        </w:numPr>
        <w:tabs>
          <w:tab w:val="left" w:pos="360"/>
          <w:tab w:val="left" w:pos="644"/>
        </w:tabs>
        <w:kinsoku/>
        <w:wordWrap/>
        <w:overflowPunct/>
        <w:topLinePunct w:val="0"/>
        <w:autoSpaceDE w:val="0"/>
        <w:autoSpaceDN w:val="0"/>
        <w:bidi w:val="0"/>
        <w:adjustRightInd w:val="0"/>
        <w:spacing w:after="0" w:line="440" w:lineRule="exact"/>
        <w:ind w:left="540" w:hanging="616" w:hangingChars="257"/>
        <w:jc w:val="both"/>
        <w:outlineLvl w:val="1"/>
        <w:rPr>
          <w:rFonts w:ascii="宋体" w:hAnsi="宋体" w:cs="宋体"/>
          <w:color w:val="auto"/>
          <w:sz w:val="24"/>
          <w:szCs w:val="24"/>
          <w:highlight w:val="none"/>
        </w:rPr>
      </w:pPr>
      <w:r>
        <w:rPr>
          <w:rFonts w:hint="eastAsia" w:ascii="宋体" w:hAnsi="宋体" w:cs="宋体"/>
          <w:color w:val="auto"/>
          <w:sz w:val="24"/>
          <w:szCs w:val="24"/>
          <w:highlight w:val="none"/>
        </w:rPr>
        <w:t>样品及现场演示</w:t>
      </w:r>
    </w:p>
    <w:p w14:paraId="68BF6D50">
      <w:pPr>
        <w:pageBreakBefore w:val="0"/>
        <w:widowControl w:val="0"/>
        <w:numPr>
          <w:ilvl w:val="0"/>
          <w:numId w:val="33"/>
        </w:numPr>
        <w:tabs>
          <w:tab w:val="left" w:pos="709"/>
        </w:tabs>
        <w:kinsoku/>
        <w:wordWrap/>
        <w:overflowPunct/>
        <w:topLinePunct w:val="0"/>
        <w:bidi w:val="0"/>
        <w:spacing w:after="0" w:line="440" w:lineRule="exact"/>
        <w:ind w:hanging="630"/>
        <w:contextualSpacing/>
        <w:jc w:val="both"/>
        <w:rPr>
          <w:rFonts w:ascii="宋体" w:hAnsi="宋体" w:cs="宋体"/>
          <w:snapToGrid w:val="0"/>
          <w:color w:val="auto"/>
          <w:sz w:val="24"/>
          <w:szCs w:val="24"/>
          <w:highlight w:val="none"/>
          <w:lang w:val="zh-CN"/>
        </w:rPr>
      </w:pPr>
      <w:r>
        <w:rPr>
          <w:rFonts w:hint="eastAsia" w:ascii="宋体" w:hAnsi="宋体" w:cs="宋体"/>
          <w:b/>
          <w:color w:val="auto"/>
          <w:sz w:val="24"/>
          <w:szCs w:val="24"/>
          <w:highlight w:val="none"/>
        </w:rPr>
        <w:t>样品</w:t>
      </w:r>
      <w:r>
        <w:rPr>
          <w:rFonts w:hint="eastAsia" w:ascii="宋体" w:hAnsi="宋体" w:cs="宋体"/>
          <w:color w:val="auto"/>
          <w:sz w:val="24"/>
          <w:szCs w:val="24"/>
          <w:highlight w:val="none"/>
        </w:rPr>
        <w:t>。本项目是否接收样品</w:t>
      </w:r>
      <w:r>
        <w:rPr>
          <w:rFonts w:hint="eastAsia" w:ascii="宋体" w:hAnsi="宋体" w:cs="宋体"/>
          <w:snapToGrid w:val="0"/>
          <w:color w:val="auto"/>
          <w:sz w:val="24"/>
          <w:szCs w:val="24"/>
          <w:highlight w:val="none"/>
        </w:rPr>
        <w:t>详见《供应商须知前附表》。</w:t>
      </w:r>
    </w:p>
    <w:p w14:paraId="12D190CC">
      <w:pPr>
        <w:pageBreakBefore w:val="0"/>
        <w:widowControl w:val="0"/>
        <w:numPr>
          <w:ilvl w:val="0"/>
          <w:numId w:val="34"/>
        </w:numPr>
        <w:kinsoku/>
        <w:wordWrap/>
        <w:overflowPunct/>
        <w:topLinePunct w:val="0"/>
        <w:autoSpaceDE w:val="0"/>
        <w:autoSpaceDN w:val="0"/>
        <w:bidi w:val="0"/>
        <w:adjustRightInd w:val="0"/>
        <w:spacing w:after="0" w:line="440" w:lineRule="exact"/>
        <w:ind w:left="567" w:hanging="283"/>
        <w:jc w:val="both"/>
        <w:rPr>
          <w:rFonts w:ascii="宋体" w:hAnsi="宋体"/>
          <w:color w:val="auto"/>
          <w:sz w:val="24"/>
          <w:szCs w:val="24"/>
          <w:highlight w:val="none"/>
        </w:rPr>
      </w:pPr>
      <w:r>
        <w:rPr>
          <w:rFonts w:hint="eastAsia" w:ascii="宋体" w:hAnsi="宋体" w:cs="宋体"/>
          <w:snapToGrid w:val="0"/>
          <w:color w:val="auto"/>
          <w:sz w:val="24"/>
          <w:szCs w:val="24"/>
          <w:highlight w:val="none"/>
          <w:lang w:val="zh-CN"/>
        </w:rPr>
        <w:t>采购文件要求提交样品的，样品应在递交响应文件截止时间之前，</w:t>
      </w:r>
      <w:r>
        <w:rPr>
          <w:rFonts w:hint="eastAsia" w:ascii="宋体" w:hAnsi="宋体"/>
          <w:color w:val="auto"/>
          <w:sz w:val="24"/>
          <w:szCs w:val="24"/>
          <w:highlight w:val="none"/>
        </w:rPr>
        <w:t>由供应商授权代表凭法定代表人授权书（原件）、本人身份证（原件）递交到指定地点。供应商应在样品上标明项目编号/标段编号、项目名称及供应商名称。提交样品的相关规定详见《供应商须知前附表》。</w:t>
      </w:r>
    </w:p>
    <w:p w14:paraId="0CACA9D2">
      <w:pPr>
        <w:pageBreakBefore w:val="0"/>
        <w:widowControl w:val="0"/>
        <w:numPr>
          <w:ilvl w:val="0"/>
          <w:numId w:val="34"/>
        </w:numPr>
        <w:kinsoku/>
        <w:wordWrap/>
        <w:overflowPunct/>
        <w:topLinePunct w:val="0"/>
        <w:autoSpaceDE w:val="0"/>
        <w:autoSpaceDN w:val="0"/>
        <w:bidi w:val="0"/>
        <w:adjustRightInd w:val="0"/>
        <w:spacing w:after="0" w:line="440" w:lineRule="exact"/>
        <w:ind w:left="567" w:hanging="283"/>
        <w:jc w:val="both"/>
        <w:rPr>
          <w:rFonts w:ascii="宋体" w:hAnsi="宋体" w:cs="宋体"/>
          <w:snapToGrid w:val="0"/>
          <w:color w:val="auto"/>
          <w:sz w:val="24"/>
          <w:szCs w:val="24"/>
          <w:highlight w:val="none"/>
          <w:lang w:val="zh-CN"/>
        </w:rPr>
      </w:pPr>
      <w:r>
        <w:rPr>
          <w:rFonts w:hint="eastAsia" w:ascii="宋体" w:hAnsi="宋体"/>
          <w:color w:val="auto"/>
          <w:sz w:val="24"/>
          <w:szCs w:val="24"/>
          <w:highlight w:val="none"/>
        </w:rPr>
        <w:t>采购活动结束后，对于未成交供应商提供的样品，采购代理机构将及时退还未成交供应商，或者经</w:t>
      </w:r>
      <w:r>
        <w:rPr>
          <w:rFonts w:hint="eastAsia" w:ascii="宋体" w:hAnsi="宋体" w:cs="宋体"/>
          <w:snapToGrid w:val="0"/>
          <w:color w:val="auto"/>
          <w:sz w:val="24"/>
          <w:szCs w:val="24"/>
          <w:highlight w:val="none"/>
          <w:lang w:val="zh-CN"/>
        </w:rPr>
        <w:t>未成交供应商同意后自行处理；对于成交供应商提供的样品，将按照采购文件的规定进行保管、封存，并作为履约验收的参考。</w:t>
      </w:r>
    </w:p>
    <w:p w14:paraId="56FB8A3F">
      <w:pPr>
        <w:pageBreakBefore w:val="0"/>
        <w:widowControl w:val="0"/>
        <w:numPr>
          <w:ilvl w:val="0"/>
          <w:numId w:val="33"/>
        </w:numPr>
        <w:tabs>
          <w:tab w:val="left" w:pos="709"/>
        </w:tabs>
        <w:kinsoku/>
        <w:wordWrap/>
        <w:overflowPunct/>
        <w:topLinePunct w:val="0"/>
        <w:bidi w:val="0"/>
        <w:spacing w:after="0" w:line="440" w:lineRule="exact"/>
        <w:ind w:hanging="630"/>
        <w:contextualSpacing/>
        <w:jc w:val="both"/>
        <w:rPr>
          <w:rFonts w:ascii="宋体" w:hAnsi="宋体" w:cs="宋体"/>
          <w:snapToGrid w:val="0"/>
          <w:color w:val="auto"/>
          <w:sz w:val="24"/>
          <w:szCs w:val="24"/>
          <w:highlight w:val="none"/>
          <w:lang w:val="zh-CN"/>
        </w:rPr>
      </w:pPr>
      <w:r>
        <w:rPr>
          <w:rFonts w:hint="eastAsia" w:ascii="宋体" w:hAnsi="宋体"/>
          <w:b/>
          <w:color w:val="auto"/>
          <w:sz w:val="24"/>
          <w:szCs w:val="24"/>
          <w:highlight w:val="none"/>
        </w:rPr>
        <w:t>现场演示</w:t>
      </w:r>
      <w:r>
        <w:rPr>
          <w:rFonts w:hint="eastAsia" w:ascii="宋体" w:hAnsi="宋体"/>
          <w:color w:val="auto"/>
          <w:sz w:val="24"/>
          <w:szCs w:val="24"/>
          <w:highlight w:val="none"/>
          <w:lang w:val="zh-CN"/>
        </w:rPr>
        <w:t>。本项目在评审时是否需要演示及演示要求见《供应商须知前附表》。</w:t>
      </w:r>
    </w:p>
    <w:p w14:paraId="0AF36C21">
      <w:pPr>
        <w:pageBreakBefore w:val="0"/>
        <w:widowControl w:val="0"/>
        <w:numPr>
          <w:ilvl w:val="0"/>
          <w:numId w:val="11"/>
        </w:numPr>
        <w:tabs>
          <w:tab w:val="left" w:pos="360"/>
          <w:tab w:val="left" w:pos="644"/>
        </w:tabs>
        <w:kinsoku/>
        <w:wordWrap/>
        <w:overflowPunct/>
        <w:topLinePunct w:val="0"/>
        <w:autoSpaceDE w:val="0"/>
        <w:autoSpaceDN w:val="0"/>
        <w:bidi w:val="0"/>
        <w:adjustRightInd w:val="0"/>
        <w:spacing w:after="0" w:line="440" w:lineRule="exact"/>
        <w:ind w:left="542" w:hanging="619" w:hangingChars="257"/>
        <w:jc w:val="both"/>
        <w:outlineLvl w:val="1"/>
        <w:rPr>
          <w:rFonts w:ascii="宋体" w:hAnsi="宋体"/>
          <w:color w:val="auto"/>
          <w:sz w:val="24"/>
          <w:szCs w:val="24"/>
          <w:highlight w:val="none"/>
        </w:rPr>
      </w:pPr>
      <w:bookmarkStart w:id="99" w:name="_Toc19445"/>
      <w:bookmarkStart w:id="100" w:name="_Toc515822995"/>
      <w:bookmarkStart w:id="101" w:name="_Toc3707"/>
      <w:bookmarkStart w:id="102" w:name="_Toc14448"/>
      <w:bookmarkStart w:id="103" w:name="_Toc28288"/>
      <w:bookmarkStart w:id="104" w:name="_Toc11805"/>
      <w:r>
        <w:rPr>
          <w:rFonts w:hint="eastAsia" w:ascii="宋体" w:hAnsi="宋体" w:cs="宋体"/>
          <w:b/>
          <w:color w:val="auto"/>
          <w:sz w:val="24"/>
          <w:szCs w:val="24"/>
          <w:highlight w:val="none"/>
        </w:rPr>
        <w:t>递交响应文件</w:t>
      </w:r>
      <w:r>
        <w:rPr>
          <w:rFonts w:hint="eastAsia" w:ascii="宋体" w:hAnsi="宋体" w:cs="宋体"/>
          <w:color w:val="auto"/>
          <w:sz w:val="24"/>
          <w:szCs w:val="24"/>
          <w:highlight w:val="none"/>
        </w:rPr>
        <w:t>。递交响应文件的截止时间见</w:t>
      </w:r>
      <w:r>
        <w:rPr>
          <w:rFonts w:hint="eastAsia" w:ascii="宋体" w:hAnsi="宋体"/>
          <w:color w:val="auto"/>
          <w:sz w:val="24"/>
          <w:szCs w:val="24"/>
          <w:highlight w:val="none"/>
        </w:rPr>
        <w:t>《供应商须知前附表》，供应商应在规定时间内完成响应文件的递交（</w:t>
      </w:r>
      <w:r>
        <w:rPr>
          <w:rFonts w:hint="eastAsia" w:ascii="宋体" w:hAnsi="宋体"/>
          <w:b/>
          <w:color w:val="auto"/>
          <w:sz w:val="24"/>
          <w:szCs w:val="24"/>
          <w:highlight w:val="none"/>
        </w:rPr>
        <w:t>如采购文件仅要求递交电子响应文件，则不必到现场递交纸质响应文件</w:t>
      </w:r>
      <w:r>
        <w:rPr>
          <w:rFonts w:hint="eastAsia" w:ascii="宋体" w:hAnsi="宋体"/>
          <w:color w:val="auto"/>
          <w:sz w:val="24"/>
          <w:szCs w:val="24"/>
          <w:highlight w:val="none"/>
        </w:rPr>
        <w:t>）：</w:t>
      </w:r>
    </w:p>
    <w:p w14:paraId="3787EE47">
      <w:pPr>
        <w:pageBreakBefore w:val="0"/>
        <w:widowControl w:val="0"/>
        <w:numPr>
          <w:ilvl w:val="1"/>
          <w:numId w:val="35"/>
        </w:numPr>
        <w:tabs>
          <w:tab w:val="left" w:pos="851"/>
          <w:tab w:val="left" w:pos="993"/>
          <w:tab w:val="left" w:pos="1134"/>
          <w:tab w:val="clear" w:pos="840"/>
        </w:tabs>
        <w:kinsoku/>
        <w:wordWrap/>
        <w:overflowPunct/>
        <w:topLinePunct w:val="0"/>
        <w:autoSpaceDE w:val="0"/>
        <w:autoSpaceDN w:val="0"/>
        <w:bidi w:val="0"/>
        <w:adjustRightInd w:val="0"/>
        <w:spacing w:after="0" w:line="440" w:lineRule="exact"/>
        <w:ind w:left="563" w:hanging="643" w:hangingChars="267"/>
        <w:jc w:val="both"/>
        <w:rPr>
          <w:rFonts w:ascii="宋体" w:hAnsi="宋体"/>
          <w:color w:val="auto"/>
          <w:sz w:val="24"/>
          <w:szCs w:val="24"/>
          <w:highlight w:val="none"/>
        </w:rPr>
      </w:pPr>
      <w:r>
        <w:rPr>
          <w:rFonts w:hint="eastAsia" w:ascii="宋体" w:hAnsi="宋体"/>
          <w:b/>
          <w:color w:val="auto"/>
          <w:sz w:val="24"/>
          <w:szCs w:val="24"/>
          <w:highlight w:val="none"/>
        </w:rPr>
        <w:t>网上递交</w:t>
      </w:r>
      <w:r>
        <w:rPr>
          <w:rFonts w:hint="eastAsia" w:ascii="宋体" w:hAnsi="宋体"/>
          <w:color w:val="auto"/>
          <w:sz w:val="24"/>
          <w:szCs w:val="24"/>
          <w:highlight w:val="none"/>
        </w:rPr>
        <w:t>加密的电子响应文件：供应商应</w:t>
      </w:r>
      <w:r>
        <w:rPr>
          <w:rFonts w:ascii="宋体" w:hAnsi="宋体"/>
          <w:color w:val="auto"/>
          <w:sz w:val="24"/>
          <w:szCs w:val="24"/>
          <w:highlight w:val="none"/>
        </w:rPr>
        <w:t>在规定递交截止时间前，</w:t>
      </w:r>
      <w:r>
        <w:rPr>
          <w:rFonts w:hint="eastAsia" w:ascii="宋体" w:hAnsi="宋体"/>
          <w:color w:val="auto"/>
          <w:sz w:val="24"/>
          <w:szCs w:val="24"/>
          <w:highlight w:val="none"/>
        </w:rPr>
        <w:t>通过互联网登录“电子交易平台”，选择所投标段将加密的电子响应文件上传，递交时间以平台电子签收凭证载明的传输完成时间为准。供应商应充分考虑上传文件时的不可预见因素，未加密或逾期上传的电子响应文件，“电子交易平台”将拒收并提示。</w:t>
      </w:r>
    </w:p>
    <w:p w14:paraId="74CCEDC9">
      <w:pPr>
        <w:pageBreakBefore w:val="0"/>
        <w:widowControl w:val="0"/>
        <w:numPr>
          <w:ilvl w:val="1"/>
          <w:numId w:val="35"/>
        </w:numPr>
        <w:tabs>
          <w:tab w:val="left" w:pos="851"/>
          <w:tab w:val="left" w:pos="993"/>
          <w:tab w:val="left" w:pos="1134"/>
          <w:tab w:val="clear" w:pos="840"/>
        </w:tabs>
        <w:kinsoku/>
        <w:wordWrap/>
        <w:overflowPunct/>
        <w:topLinePunct w:val="0"/>
        <w:autoSpaceDE w:val="0"/>
        <w:autoSpaceDN w:val="0"/>
        <w:bidi w:val="0"/>
        <w:adjustRightInd w:val="0"/>
        <w:spacing w:after="0" w:line="440" w:lineRule="exact"/>
        <w:ind w:left="563" w:hanging="643" w:hangingChars="267"/>
        <w:jc w:val="both"/>
        <w:rPr>
          <w:rFonts w:ascii="宋体" w:hAnsi="宋体"/>
          <w:color w:val="auto"/>
          <w:sz w:val="24"/>
          <w:szCs w:val="24"/>
          <w:highlight w:val="none"/>
        </w:rPr>
      </w:pPr>
      <w:r>
        <w:rPr>
          <w:rFonts w:hint="eastAsia" w:ascii="宋体" w:hAnsi="宋体"/>
          <w:b/>
          <w:color w:val="auto"/>
          <w:sz w:val="24"/>
          <w:szCs w:val="24"/>
          <w:highlight w:val="none"/>
        </w:rPr>
        <w:t>现场（或邮寄）递交</w:t>
      </w:r>
      <w:r>
        <w:rPr>
          <w:rFonts w:hint="eastAsia" w:ascii="宋体" w:hAnsi="宋体"/>
          <w:color w:val="auto"/>
          <w:sz w:val="24"/>
          <w:szCs w:val="24"/>
          <w:highlight w:val="none"/>
        </w:rPr>
        <w:t>纸质响应文件（采购文件要求递交纸质响应文件时）：供应商应当在响应截止时间前，将响应文件按照要求密封和加写标记后递交或邮寄送达（如采购公告允许接收邮寄），递交地点见《供应商须知前附表》。采购人（采购代理机构）收到响应文件后向供应商出具签收凭证。</w:t>
      </w:r>
      <w:r>
        <w:rPr>
          <w:rFonts w:hint="eastAsia" w:ascii="宋体" w:hAnsi="宋体"/>
          <w:b/>
          <w:color w:val="auto"/>
          <w:sz w:val="24"/>
          <w:szCs w:val="24"/>
          <w:highlight w:val="none"/>
        </w:rPr>
        <w:t>逾期送达指定地点或者未按照采购文件要求密封的响应文件，采购人和采购代理机构应当拒收</w:t>
      </w:r>
      <w:r>
        <w:rPr>
          <w:rFonts w:hint="eastAsia" w:ascii="宋体" w:hAnsi="宋体"/>
          <w:color w:val="auto"/>
          <w:sz w:val="24"/>
          <w:szCs w:val="24"/>
          <w:highlight w:val="none"/>
        </w:rPr>
        <w:t>。</w:t>
      </w:r>
    </w:p>
    <w:p w14:paraId="31082D99">
      <w:pPr>
        <w:pageBreakBefore w:val="0"/>
        <w:widowControl w:val="0"/>
        <w:numPr>
          <w:ilvl w:val="1"/>
          <w:numId w:val="35"/>
        </w:numPr>
        <w:tabs>
          <w:tab w:val="left" w:pos="851"/>
          <w:tab w:val="left" w:pos="993"/>
          <w:tab w:val="left" w:pos="1134"/>
          <w:tab w:val="clear" w:pos="840"/>
        </w:tabs>
        <w:kinsoku/>
        <w:wordWrap/>
        <w:overflowPunct/>
        <w:topLinePunct w:val="0"/>
        <w:autoSpaceDE w:val="0"/>
        <w:autoSpaceDN w:val="0"/>
        <w:bidi w:val="0"/>
        <w:adjustRightInd w:val="0"/>
        <w:spacing w:after="0" w:line="440" w:lineRule="exact"/>
        <w:ind w:left="561" w:hanging="640" w:hangingChars="267"/>
        <w:jc w:val="both"/>
        <w:rPr>
          <w:rFonts w:ascii="宋体" w:hAnsi="宋体" w:cs="宋体"/>
          <w:color w:val="auto"/>
          <w:sz w:val="24"/>
          <w:szCs w:val="24"/>
          <w:highlight w:val="none"/>
        </w:rPr>
      </w:pPr>
      <w:r>
        <w:rPr>
          <w:rFonts w:hint="eastAsia" w:ascii="宋体" w:hAnsi="宋体"/>
          <w:color w:val="auto"/>
          <w:sz w:val="24"/>
          <w:szCs w:val="24"/>
          <w:highlight w:val="none"/>
        </w:rPr>
        <w:t>在响应</w:t>
      </w:r>
      <w:r>
        <w:rPr>
          <w:rFonts w:ascii="宋体" w:hAnsi="宋体"/>
          <w:color w:val="auto"/>
          <w:sz w:val="24"/>
          <w:szCs w:val="24"/>
          <w:highlight w:val="none"/>
        </w:rPr>
        <w:t>文件</w:t>
      </w:r>
      <w:r>
        <w:rPr>
          <w:rFonts w:hint="eastAsia" w:ascii="宋体" w:hAnsi="宋体"/>
          <w:color w:val="auto"/>
          <w:sz w:val="24"/>
          <w:szCs w:val="24"/>
          <w:highlight w:val="none"/>
        </w:rPr>
        <w:t>递交截止时间前尚未上传电子响应文件</w:t>
      </w:r>
      <w:r>
        <w:rPr>
          <w:rFonts w:hint="eastAsia" w:ascii="宋体" w:hAnsi="宋体"/>
          <w:color w:val="auto"/>
          <w:kern w:val="10"/>
          <w:sz w:val="24"/>
          <w:szCs w:val="24"/>
          <w:highlight w:val="none"/>
        </w:rPr>
        <w:t>，但供应商已先行递交纸质响应文件的，如在截止时间前仍未成功上传电子响应文件，其纸质响应文件将按无效响应文件处理。</w:t>
      </w:r>
      <w:bookmarkEnd w:id="99"/>
      <w:bookmarkEnd w:id="100"/>
      <w:bookmarkEnd w:id="101"/>
      <w:bookmarkEnd w:id="102"/>
      <w:bookmarkEnd w:id="103"/>
      <w:bookmarkEnd w:id="104"/>
    </w:p>
    <w:p w14:paraId="21CA1E07">
      <w:pPr>
        <w:pageBreakBefore w:val="0"/>
        <w:widowControl w:val="0"/>
        <w:numPr>
          <w:ilvl w:val="0"/>
          <w:numId w:val="11"/>
        </w:numPr>
        <w:tabs>
          <w:tab w:val="left" w:pos="360"/>
          <w:tab w:val="left" w:pos="644"/>
        </w:tabs>
        <w:kinsoku/>
        <w:wordWrap/>
        <w:overflowPunct/>
        <w:topLinePunct w:val="0"/>
        <w:autoSpaceDE w:val="0"/>
        <w:autoSpaceDN w:val="0"/>
        <w:bidi w:val="0"/>
        <w:adjustRightInd w:val="0"/>
        <w:spacing w:after="0" w:line="440" w:lineRule="exact"/>
        <w:ind w:left="540" w:hanging="616" w:hangingChars="257"/>
        <w:jc w:val="both"/>
        <w:outlineLvl w:val="1"/>
        <w:rPr>
          <w:rFonts w:ascii="宋体" w:hAnsi="宋体" w:cs="宋体"/>
          <w:color w:val="auto"/>
          <w:sz w:val="24"/>
          <w:szCs w:val="24"/>
          <w:highlight w:val="none"/>
        </w:rPr>
      </w:pPr>
      <w:r>
        <w:rPr>
          <w:rFonts w:hint="eastAsia" w:ascii="宋体" w:hAnsi="宋体" w:cs="宋体"/>
          <w:color w:val="auto"/>
          <w:sz w:val="24"/>
          <w:szCs w:val="24"/>
          <w:highlight w:val="none"/>
        </w:rPr>
        <w:t>响应文件的修改与撤回</w:t>
      </w:r>
    </w:p>
    <w:p w14:paraId="61EEA50B">
      <w:pPr>
        <w:pageBreakBefore w:val="0"/>
        <w:widowControl w:val="0"/>
        <w:numPr>
          <w:ilvl w:val="1"/>
          <w:numId w:val="36"/>
        </w:numPr>
        <w:tabs>
          <w:tab w:val="left" w:pos="709"/>
          <w:tab w:val="left" w:pos="993"/>
          <w:tab w:val="left" w:pos="1134"/>
          <w:tab w:val="clear" w:pos="840"/>
        </w:tabs>
        <w:kinsoku/>
        <w:wordWrap/>
        <w:overflowPunct/>
        <w:topLinePunct w:val="0"/>
        <w:autoSpaceDE w:val="0"/>
        <w:autoSpaceDN w:val="0"/>
        <w:bidi w:val="0"/>
        <w:adjustRightInd w:val="0"/>
        <w:spacing w:after="0" w:line="440" w:lineRule="exact"/>
        <w:ind w:left="567" w:hanging="648" w:hangingChars="270"/>
        <w:jc w:val="both"/>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在</w:t>
      </w:r>
      <w:r>
        <w:rPr>
          <w:rFonts w:hint="eastAsia" w:ascii="宋体" w:hAnsi="宋体" w:cs="宋体"/>
          <w:snapToGrid w:val="0"/>
          <w:color w:val="auto"/>
          <w:sz w:val="24"/>
          <w:szCs w:val="24"/>
          <w:highlight w:val="none"/>
        </w:rPr>
        <w:t>提</w:t>
      </w:r>
      <w:r>
        <w:rPr>
          <w:rFonts w:hint="eastAsia" w:ascii="宋体" w:hAnsi="宋体" w:cs="宋体"/>
          <w:snapToGrid w:val="0"/>
          <w:color w:val="auto"/>
          <w:sz w:val="24"/>
          <w:szCs w:val="24"/>
          <w:highlight w:val="none"/>
          <w:lang w:val="zh-CN"/>
        </w:rPr>
        <w:t>交响应文件截止时间前，供应商可以在线撤回已提交的响应文件，或对已提交的响应文件进行补充、修改。供应商需要补充、修改响应文件时，应先撤回响应文件，在线重新制作响应文件，并在提交截止时间前重新上传新的响应文件。</w:t>
      </w:r>
    </w:p>
    <w:p w14:paraId="1B3E812C">
      <w:pPr>
        <w:pageBreakBefore w:val="0"/>
        <w:widowControl w:val="0"/>
        <w:numPr>
          <w:ilvl w:val="1"/>
          <w:numId w:val="36"/>
        </w:numPr>
        <w:tabs>
          <w:tab w:val="left" w:pos="709"/>
          <w:tab w:val="left" w:pos="993"/>
          <w:tab w:val="left" w:pos="1134"/>
          <w:tab w:val="clear" w:pos="840"/>
        </w:tabs>
        <w:kinsoku/>
        <w:wordWrap/>
        <w:overflowPunct/>
        <w:topLinePunct w:val="0"/>
        <w:autoSpaceDE w:val="0"/>
        <w:autoSpaceDN w:val="0"/>
        <w:bidi w:val="0"/>
        <w:adjustRightInd w:val="0"/>
        <w:spacing w:after="0" w:line="440" w:lineRule="exact"/>
        <w:ind w:left="567" w:hanging="648" w:hangingChars="270"/>
        <w:jc w:val="both"/>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从提交响应文件截止时间至响应文件有效期期满这段时间，供应商不得修改或撤销其响应文件，否则其磋商保证金将不予以退还。</w:t>
      </w:r>
    </w:p>
    <w:p w14:paraId="47EE3739">
      <w:pPr>
        <w:pageBreakBefore w:val="0"/>
        <w:widowControl w:val="0"/>
        <w:numPr>
          <w:ilvl w:val="1"/>
          <w:numId w:val="36"/>
        </w:numPr>
        <w:tabs>
          <w:tab w:val="left" w:pos="709"/>
          <w:tab w:val="left" w:pos="993"/>
          <w:tab w:val="left" w:pos="1134"/>
          <w:tab w:val="clear" w:pos="840"/>
        </w:tabs>
        <w:kinsoku/>
        <w:wordWrap/>
        <w:overflowPunct/>
        <w:topLinePunct w:val="0"/>
        <w:autoSpaceDE w:val="0"/>
        <w:autoSpaceDN w:val="0"/>
        <w:bidi w:val="0"/>
        <w:adjustRightInd w:val="0"/>
        <w:spacing w:after="0" w:line="440" w:lineRule="exact"/>
        <w:ind w:left="567" w:hanging="648" w:hangingChars="270"/>
        <w:jc w:val="both"/>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供应商所提交的响应文件在递交响应文件时间截止后，无论成交与否都不退还。</w:t>
      </w:r>
    </w:p>
    <w:p w14:paraId="18C94F11">
      <w:pPr>
        <w:pageBreakBefore w:val="0"/>
        <w:widowControl w:val="0"/>
        <w:numPr>
          <w:ilvl w:val="1"/>
          <w:numId w:val="10"/>
        </w:numPr>
        <w:tabs>
          <w:tab w:val="left" w:pos="540"/>
          <w:tab w:val="left" w:pos="840"/>
          <w:tab w:val="left" w:pos="1080"/>
        </w:tabs>
        <w:kinsoku/>
        <w:wordWrap/>
        <w:overflowPunct/>
        <w:topLinePunct w:val="0"/>
        <w:bidi w:val="0"/>
        <w:adjustRightInd w:val="0"/>
        <w:spacing w:after="0" w:line="440" w:lineRule="exact"/>
        <w:ind w:left="540" w:hanging="540"/>
        <w:jc w:val="both"/>
        <w:outlineLvl w:val="1"/>
        <w:rPr>
          <w:rFonts w:ascii="宋体" w:hAnsi="宋体" w:cs="宋体"/>
          <w:b/>
          <w:color w:val="auto"/>
          <w:sz w:val="24"/>
          <w:szCs w:val="24"/>
          <w:highlight w:val="none"/>
        </w:rPr>
      </w:pPr>
      <w:r>
        <w:rPr>
          <w:rFonts w:hint="eastAsia" w:ascii="宋体" w:hAnsi="宋体" w:cs="宋体"/>
          <w:b/>
          <w:color w:val="auto"/>
          <w:sz w:val="24"/>
          <w:szCs w:val="24"/>
          <w:highlight w:val="none"/>
        </w:rPr>
        <w:t>磋商</w:t>
      </w:r>
      <w:r>
        <w:rPr>
          <w:rFonts w:hint="eastAsia" w:ascii="宋体" w:hAnsi="宋体"/>
          <w:b/>
          <w:color w:val="auto"/>
          <w:sz w:val="24"/>
          <w:szCs w:val="24"/>
          <w:highlight w:val="none"/>
        </w:rPr>
        <w:t>程序及</w:t>
      </w:r>
      <w:r>
        <w:rPr>
          <w:rFonts w:hint="eastAsia" w:ascii="宋体" w:hAnsi="宋体" w:cs="宋体"/>
          <w:b/>
          <w:color w:val="auto"/>
          <w:sz w:val="24"/>
          <w:szCs w:val="24"/>
          <w:highlight w:val="none"/>
        </w:rPr>
        <w:t>步骤</w:t>
      </w:r>
    </w:p>
    <w:p w14:paraId="7DEAEBFB">
      <w:pPr>
        <w:pageBreakBefore w:val="0"/>
        <w:widowControl w:val="0"/>
        <w:numPr>
          <w:ilvl w:val="0"/>
          <w:numId w:val="11"/>
        </w:numPr>
        <w:tabs>
          <w:tab w:val="left" w:pos="360"/>
          <w:tab w:val="left" w:pos="644"/>
        </w:tabs>
        <w:kinsoku/>
        <w:wordWrap/>
        <w:overflowPunct/>
        <w:topLinePunct w:val="0"/>
        <w:bidi w:val="0"/>
        <w:adjustRightInd w:val="0"/>
        <w:spacing w:after="0" w:line="440" w:lineRule="exact"/>
        <w:ind w:left="424" w:hanging="484" w:hangingChars="202"/>
        <w:jc w:val="both"/>
        <w:outlineLvl w:val="1"/>
        <w:rPr>
          <w:rFonts w:ascii="宋体" w:hAnsi="宋体" w:cs="宋体"/>
          <w:color w:val="auto"/>
          <w:sz w:val="24"/>
          <w:szCs w:val="24"/>
          <w:highlight w:val="none"/>
        </w:rPr>
      </w:pPr>
      <w:r>
        <w:rPr>
          <w:rFonts w:hint="eastAsia" w:ascii="宋体" w:hAnsi="宋体" w:cs="宋体"/>
          <w:color w:val="auto"/>
          <w:sz w:val="24"/>
          <w:szCs w:val="24"/>
          <w:highlight w:val="none"/>
        </w:rPr>
        <w:t>响应文件开启</w:t>
      </w:r>
    </w:p>
    <w:p w14:paraId="386BEDDA">
      <w:pPr>
        <w:pageBreakBefore w:val="0"/>
        <w:widowControl w:val="0"/>
        <w:numPr>
          <w:ilvl w:val="1"/>
          <w:numId w:val="37"/>
        </w:numPr>
        <w:tabs>
          <w:tab w:val="left" w:pos="709"/>
          <w:tab w:val="left" w:pos="851"/>
        </w:tabs>
        <w:kinsoku/>
        <w:wordWrap/>
        <w:overflowPunct/>
        <w:topLinePunct w:val="0"/>
        <w:autoSpaceDE w:val="0"/>
        <w:autoSpaceDN w:val="0"/>
        <w:bidi w:val="0"/>
        <w:adjustRightInd w:val="0"/>
        <w:spacing w:after="0" w:line="440" w:lineRule="exact"/>
        <w:ind w:left="567" w:hanging="648" w:hangingChars="270"/>
        <w:jc w:val="both"/>
        <w:rPr>
          <w:rFonts w:ascii="宋体" w:hAnsi="宋体" w:cs="宋体"/>
          <w:color w:val="auto"/>
          <w:sz w:val="24"/>
          <w:szCs w:val="24"/>
          <w:highlight w:val="none"/>
        </w:rPr>
      </w:pPr>
      <w:r>
        <w:rPr>
          <w:rFonts w:hint="eastAsia" w:ascii="宋体" w:hAnsi="宋体"/>
          <w:bCs/>
          <w:color w:val="auto"/>
          <w:sz w:val="24"/>
          <w:szCs w:val="24"/>
          <w:highlight w:val="none"/>
        </w:rPr>
        <w:t>采购代理机构在第一章</w:t>
      </w:r>
      <w:r>
        <w:rPr>
          <w:rFonts w:hint="eastAsia" w:ascii="宋体" w:hAnsi="宋体" w:cs="宋体"/>
          <w:color w:val="auto"/>
          <w:sz w:val="24"/>
          <w:szCs w:val="24"/>
          <w:highlight w:val="none"/>
        </w:rPr>
        <w:t>“磋商公告”中约定的日期、时间和地点组织线上开启，所有供应商均应当准时在线参加。</w:t>
      </w:r>
    </w:p>
    <w:p w14:paraId="1F908CCE">
      <w:pPr>
        <w:pageBreakBefore w:val="0"/>
        <w:widowControl w:val="0"/>
        <w:numPr>
          <w:ilvl w:val="1"/>
          <w:numId w:val="37"/>
        </w:numPr>
        <w:tabs>
          <w:tab w:val="left" w:pos="709"/>
          <w:tab w:val="left" w:pos="851"/>
        </w:tabs>
        <w:kinsoku/>
        <w:wordWrap/>
        <w:overflowPunct/>
        <w:topLinePunct w:val="0"/>
        <w:autoSpaceDE w:val="0"/>
        <w:autoSpaceDN w:val="0"/>
        <w:bidi w:val="0"/>
        <w:adjustRightInd w:val="0"/>
        <w:spacing w:after="0" w:line="440" w:lineRule="exact"/>
        <w:ind w:left="567" w:hanging="648" w:hangingChars="270"/>
        <w:jc w:val="both"/>
        <w:rPr>
          <w:rFonts w:ascii="宋体" w:hAnsi="宋体" w:cs="宋体"/>
          <w:color w:val="auto"/>
          <w:sz w:val="24"/>
          <w:szCs w:val="24"/>
          <w:highlight w:val="none"/>
        </w:rPr>
      </w:pPr>
      <w:r>
        <w:rPr>
          <w:rFonts w:hint="eastAsia" w:ascii="宋体" w:hAnsi="宋体"/>
          <w:bCs/>
          <w:color w:val="auto"/>
          <w:sz w:val="24"/>
          <w:szCs w:val="24"/>
          <w:highlight w:val="none"/>
        </w:rPr>
        <w:t>供应商必须在响应截止时间前</w:t>
      </w:r>
      <w:r>
        <w:rPr>
          <w:rFonts w:hint="eastAsia" w:ascii="宋体" w:hAnsi="宋体"/>
          <w:color w:val="auto"/>
          <w:sz w:val="24"/>
          <w:szCs w:val="24"/>
          <w:highlight w:val="none"/>
        </w:rPr>
        <w:t>，远程参加开启或到采购代理机构现场参加开启（到现场的应携带CA数字证书和已安装好CA数字签名服务驱动的笔记本电脑），使用加密响应文件的CA数字证书登录“电子交易平台”，进入“开标大厅”选择所响应标段进行签到，并保持实时在线，按要求进行相关解密及后续操作。</w:t>
      </w:r>
    </w:p>
    <w:p w14:paraId="07766EB1">
      <w:pPr>
        <w:pageBreakBefore w:val="0"/>
        <w:widowControl w:val="0"/>
        <w:numPr>
          <w:ilvl w:val="1"/>
          <w:numId w:val="37"/>
        </w:numPr>
        <w:tabs>
          <w:tab w:val="left" w:pos="709"/>
          <w:tab w:val="left" w:pos="851"/>
        </w:tabs>
        <w:kinsoku/>
        <w:wordWrap/>
        <w:overflowPunct/>
        <w:topLinePunct w:val="0"/>
        <w:autoSpaceDE w:val="0"/>
        <w:autoSpaceDN w:val="0"/>
        <w:bidi w:val="0"/>
        <w:adjustRightInd w:val="0"/>
        <w:spacing w:after="0" w:line="440" w:lineRule="exact"/>
        <w:ind w:left="567" w:hanging="648" w:hangingChars="270"/>
        <w:jc w:val="both"/>
        <w:rPr>
          <w:rFonts w:ascii="宋体" w:hAnsi="宋体" w:cs="宋体"/>
          <w:color w:val="auto"/>
          <w:sz w:val="24"/>
          <w:szCs w:val="24"/>
          <w:highlight w:val="none"/>
        </w:rPr>
      </w:pPr>
      <w:r>
        <w:rPr>
          <w:rFonts w:hint="eastAsia" w:ascii="宋体" w:hAnsi="宋体"/>
          <w:bCs/>
          <w:color w:val="auto"/>
          <w:sz w:val="24"/>
          <w:szCs w:val="24"/>
          <w:highlight w:val="none"/>
        </w:rPr>
        <w:t>到响应文件递交截止时间</w:t>
      </w:r>
      <w:r>
        <w:rPr>
          <w:rFonts w:hint="eastAsia" w:ascii="宋体" w:hAnsi="宋体"/>
          <w:color w:val="auto"/>
          <w:sz w:val="24"/>
          <w:szCs w:val="24"/>
          <w:highlight w:val="none"/>
        </w:rPr>
        <w:t>，递交响应文件不足</w:t>
      </w:r>
      <w:r>
        <w:rPr>
          <w:rFonts w:ascii="宋体" w:hAnsi="宋体"/>
          <w:color w:val="auto"/>
          <w:sz w:val="24"/>
          <w:szCs w:val="24"/>
          <w:highlight w:val="none"/>
        </w:rPr>
        <w:t>3</w:t>
      </w:r>
      <w:r>
        <w:rPr>
          <w:rFonts w:hint="eastAsia" w:ascii="宋体" w:hAnsi="宋体"/>
          <w:color w:val="auto"/>
          <w:sz w:val="24"/>
          <w:szCs w:val="24"/>
          <w:highlight w:val="none"/>
        </w:rPr>
        <w:t>家的，不进行开启。</w:t>
      </w:r>
    </w:p>
    <w:p w14:paraId="65812416">
      <w:pPr>
        <w:pageBreakBefore w:val="0"/>
        <w:widowControl w:val="0"/>
        <w:numPr>
          <w:ilvl w:val="1"/>
          <w:numId w:val="37"/>
        </w:numPr>
        <w:tabs>
          <w:tab w:val="left" w:pos="709"/>
          <w:tab w:val="left" w:pos="851"/>
        </w:tabs>
        <w:kinsoku/>
        <w:wordWrap/>
        <w:overflowPunct/>
        <w:topLinePunct w:val="0"/>
        <w:autoSpaceDE w:val="0"/>
        <w:autoSpaceDN w:val="0"/>
        <w:bidi w:val="0"/>
        <w:adjustRightInd w:val="0"/>
        <w:spacing w:after="0" w:line="440" w:lineRule="exact"/>
        <w:ind w:left="567" w:hanging="648" w:hangingChars="270"/>
        <w:jc w:val="both"/>
        <w:rPr>
          <w:rFonts w:ascii="宋体" w:hAnsi="宋体"/>
          <w:color w:val="auto"/>
          <w:sz w:val="24"/>
          <w:szCs w:val="24"/>
          <w:highlight w:val="none"/>
        </w:rPr>
      </w:pPr>
      <w:bookmarkStart w:id="105" w:name="_Toc5648"/>
      <w:bookmarkStart w:id="106" w:name="_Toc4788"/>
      <w:bookmarkStart w:id="107" w:name="_Toc515822998"/>
      <w:bookmarkStart w:id="108" w:name="_Toc31882"/>
      <w:bookmarkStart w:id="109" w:name="_Toc17375"/>
      <w:bookmarkStart w:id="110" w:name="_Toc6821"/>
      <w:r>
        <w:rPr>
          <w:rFonts w:hint="eastAsia" w:ascii="宋体" w:hAnsi="宋体"/>
          <w:bCs/>
          <w:color w:val="auto"/>
          <w:sz w:val="24"/>
          <w:szCs w:val="24"/>
          <w:highlight w:val="none"/>
        </w:rPr>
        <w:t>在规定的时间内</w:t>
      </w:r>
      <w:r>
        <w:rPr>
          <w:rFonts w:hint="eastAsia" w:ascii="宋体" w:hAnsi="宋体"/>
          <w:color w:val="auto"/>
          <w:sz w:val="24"/>
          <w:szCs w:val="24"/>
          <w:highlight w:val="none"/>
        </w:rPr>
        <w:t>，非因“电子交易平台”原因造成响应文件未解密的，视为供应商撤回响应文件。已解密的响应文件少于三个的，本次磋商失败；已解密的响应文件不少于三个的，开启继续进行。</w:t>
      </w:r>
    </w:p>
    <w:p w14:paraId="26524B24">
      <w:pPr>
        <w:pageBreakBefore w:val="0"/>
        <w:widowControl w:val="0"/>
        <w:numPr>
          <w:ilvl w:val="1"/>
          <w:numId w:val="37"/>
        </w:numPr>
        <w:tabs>
          <w:tab w:val="left" w:pos="709"/>
          <w:tab w:val="left" w:pos="851"/>
        </w:tabs>
        <w:kinsoku/>
        <w:wordWrap/>
        <w:overflowPunct/>
        <w:topLinePunct w:val="0"/>
        <w:autoSpaceDE w:val="0"/>
        <w:autoSpaceDN w:val="0"/>
        <w:bidi w:val="0"/>
        <w:adjustRightInd w:val="0"/>
        <w:spacing w:after="0" w:line="440" w:lineRule="exact"/>
        <w:ind w:left="567" w:hanging="648" w:hangingChars="270"/>
        <w:jc w:val="both"/>
        <w:rPr>
          <w:rFonts w:ascii="宋体" w:hAnsi="宋体" w:cs="宋体"/>
          <w:color w:val="auto"/>
          <w:sz w:val="24"/>
          <w:szCs w:val="24"/>
          <w:highlight w:val="none"/>
        </w:rPr>
      </w:pPr>
      <w:r>
        <w:rPr>
          <w:rFonts w:hint="eastAsia" w:ascii="宋体" w:hAnsi="宋体"/>
          <w:bCs/>
          <w:color w:val="auto"/>
          <w:sz w:val="24"/>
          <w:szCs w:val="24"/>
          <w:highlight w:val="none"/>
        </w:rPr>
        <w:t>供应商代表对开启过程和开启记录有疑义</w:t>
      </w:r>
      <w:r>
        <w:rPr>
          <w:rFonts w:hint="eastAsia" w:ascii="宋体" w:hAnsi="宋体"/>
          <w:color w:val="auto"/>
          <w:sz w:val="24"/>
          <w:szCs w:val="24"/>
          <w:highlight w:val="none"/>
          <w:lang w:val="zh-CN"/>
        </w:rPr>
        <w:t>，以及认为采购人、采购代理机构相关工作人员有需要回避的情形的，应当场提出询问或者回避申请。采购人、采购代理机构将及时处理供应商代表提出的询问或者回避申请。</w:t>
      </w:r>
    </w:p>
    <w:p w14:paraId="3E19742D">
      <w:pPr>
        <w:pageBreakBefore w:val="0"/>
        <w:widowControl w:val="0"/>
        <w:numPr>
          <w:ilvl w:val="1"/>
          <w:numId w:val="37"/>
        </w:numPr>
        <w:tabs>
          <w:tab w:val="left" w:pos="709"/>
          <w:tab w:val="left" w:pos="851"/>
        </w:tabs>
        <w:kinsoku/>
        <w:wordWrap/>
        <w:overflowPunct/>
        <w:topLinePunct w:val="0"/>
        <w:autoSpaceDE w:val="0"/>
        <w:autoSpaceDN w:val="0"/>
        <w:bidi w:val="0"/>
        <w:adjustRightInd w:val="0"/>
        <w:spacing w:after="0" w:line="440" w:lineRule="exact"/>
        <w:ind w:left="567" w:hanging="648" w:hangingChars="270"/>
        <w:jc w:val="both"/>
        <w:rPr>
          <w:rFonts w:ascii="宋体" w:hAnsi="宋体" w:cs="宋体"/>
          <w:color w:val="auto"/>
          <w:sz w:val="24"/>
          <w:szCs w:val="24"/>
          <w:highlight w:val="none"/>
        </w:rPr>
      </w:pPr>
      <w:r>
        <w:rPr>
          <w:rFonts w:hint="eastAsia" w:ascii="宋体" w:hAnsi="宋体"/>
          <w:bCs/>
          <w:color w:val="auto"/>
          <w:sz w:val="24"/>
          <w:szCs w:val="24"/>
          <w:highlight w:val="none"/>
        </w:rPr>
        <w:t>电子开启的应急措施</w:t>
      </w:r>
      <w:r>
        <w:rPr>
          <w:rFonts w:hint="eastAsia" w:ascii="宋体" w:hAnsi="宋体" w:cs="宋体"/>
          <w:color w:val="auto"/>
          <w:sz w:val="24"/>
          <w:szCs w:val="24"/>
          <w:highlight w:val="none"/>
        </w:rPr>
        <w:t>：</w:t>
      </w:r>
    </w:p>
    <w:p w14:paraId="718AC2DA">
      <w:pPr>
        <w:pageBreakBefore w:val="0"/>
        <w:kinsoku/>
        <w:wordWrap/>
        <w:overflowPunct/>
        <w:topLinePunct w:val="0"/>
        <w:bidi w:val="0"/>
        <w:spacing w:after="0"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子开启如因下列原因，导致系统无法正常运行，或者无法保证磋商过程的公平、公正和信息安全时，采购人和采购代理机构可以采用纸质响应文件（采购文件要求在响应截止时间前递交纸质响应文件的）开启和评审，并以纸质响应文件正本为准；采购人和采购代理机构也可中止本次开启，等待系统恢复正常后另行通知开标时间。</w:t>
      </w:r>
    </w:p>
    <w:p w14:paraId="73622399">
      <w:pPr>
        <w:pageBreakBefore w:val="0"/>
        <w:numPr>
          <w:ilvl w:val="0"/>
          <w:numId w:val="38"/>
        </w:numPr>
        <w:tabs>
          <w:tab w:val="left" w:pos="540"/>
          <w:tab w:val="left" w:pos="2040"/>
        </w:tabs>
        <w:kinsoku/>
        <w:wordWrap/>
        <w:overflowPunct/>
        <w:topLinePunct w:val="0"/>
        <w:autoSpaceDE w:val="0"/>
        <w:autoSpaceDN w:val="0"/>
        <w:bidi w:val="0"/>
        <w:adjustRightInd w:val="0"/>
        <w:spacing w:after="0" w:line="440" w:lineRule="exact"/>
        <w:rPr>
          <w:rFonts w:ascii="宋体" w:hAnsi="宋体" w:cs="宋体"/>
          <w:snapToGrid w:val="0"/>
          <w:color w:val="auto"/>
          <w:sz w:val="24"/>
          <w:szCs w:val="24"/>
          <w:highlight w:val="none"/>
          <w:lang w:val="zh-CN"/>
        </w:rPr>
      </w:pPr>
      <w:r>
        <w:rPr>
          <w:rFonts w:hint="eastAsia" w:ascii="宋体" w:hAnsi="宋体" w:cs="宋体"/>
          <w:color w:val="auto"/>
          <w:sz w:val="24"/>
          <w:szCs w:val="24"/>
          <w:highlight w:val="none"/>
        </w:rPr>
        <w:t>开启</w:t>
      </w:r>
      <w:r>
        <w:rPr>
          <w:rFonts w:hint="eastAsia" w:ascii="宋体" w:hAnsi="宋体" w:cs="宋体"/>
          <w:snapToGrid w:val="0"/>
          <w:color w:val="auto"/>
          <w:sz w:val="24"/>
          <w:szCs w:val="24"/>
          <w:highlight w:val="none"/>
          <w:lang w:val="zh-CN"/>
        </w:rPr>
        <w:t>时全部或者部分供应商数据无法显示或缺失；</w:t>
      </w:r>
    </w:p>
    <w:p w14:paraId="16FC8EE8">
      <w:pPr>
        <w:pageBreakBefore w:val="0"/>
        <w:numPr>
          <w:ilvl w:val="0"/>
          <w:numId w:val="38"/>
        </w:numPr>
        <w:tabs>
          <w:tab w:val="left" w:pos="540"/>
          <w:tab w:val="left" w:pos="2040"/>
        </w:tabs>
        <w:kinsoku/>
        <w:wordWrap/>
        <w:overflowPunct/>
        <w:topLinePunct w:val="0"/>
        <w:autoSpaceDE w:val="0"/>
        <w:autoSpaceDN w:val="0"/>
        <w:bidi w:val="0"/>
        <w:adjustRightInd w:val="0"/>
        <w:spacing w:after="0" w:line="440" w:lineRule="exact"/>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开启时因突发问题，平台工作人员未能在15分钟内进行问题责任判定的；</w:t>
      </w:r>
    </w:p>
    <w:p w14:paraId="72032A87">
      <w:pPr>
        <w:pageBreakBefore w:val="0"/>
        <w:numPr>
          <w:ilvl w:val="0"/>
          <w:numId w:val="38"/>
        </w:numPr>
        <w:tabs>
          <w:tab w:val="left" w:pos="540"/>
          <w:tab w:val="left" w:pos="2040"/>
        </w:tabs>
        <w:kinsoku/>
        <w:wordWrap/>
        <w:overflowPunct/>
        <w:topLinePunct w:val="0"/>
        <w:autoSpaceDE w:val="0"/>
        <w:autoSpaceDN w:val="0"/>
        <w:bidi w:val="0"/>
        <w:adjustRightInd w:val="0"/>
        <w:spacing w:after="0" w:line="440" w:lineRule="exact"/>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系统服务器发生故障，无法访问或无法使用系统；</w:t>
      </w:r>
    </w:p>
    <w:p w14:paraId="7E836B7C">
      <w:pPr>
        <w:pageBreakBefore w:val="0"/>
        <w:numPr>
          <w:ilvl w:val="0"/>
          <w:numId w:val="38"/>
        </w:numPr>
        <w:tabs>
          <w:tab w:val="left" w:pos="540"/>
          <w:tab w:val="left" w:pos="2040"/>
        </w:tabs>
        <w:kinsoku/>
        <w:wordWrap/>
        <w:overflowPunct/>
        <w:topLinePunct w:val="0"/>
        <w:autoSpaceDE w:val="0"/>
        <w:autoSpaceDN w:val="0"/>
        <w:bidi w:val="0"/>
        <w:adjustRightInd w:val="0"/>
        <w:spacing w:after="0" w:line="440" w:lineRule="exact"/>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系统的软件或数据库出现错误，不能进行正常操作；</w:t>
      </w:r>
    </w:p>
    <w:p w14:paraId="12BF6A5D">
      <w:pPr>
        <w:pageBreakBefore w:val="0"/>
        <w:numPr>
          <w:ilvl w:val="0"/>
          <w:numId w:val="38"/>
        </w:numPr>
        <w:tabs>
          <w:tab w:val="left" w:pos="540"/>
          <w:tab w:val="left" w:pos="2040"/>
        </w:tabs>
        <w:kinsoku/>
        <w:wordWrap/>
        <w:overflowPunct/>
        <w:topLinePunct w:val="0"/>
        <w:autoSpaceDE w:val="0"/>
        <w:autoSpaceDN w:val="0"/>
        <w:bidi w:val="0"/>
        <w:adjustRightInd w:val="0"/>
        <w:spacing w:after="0" w:line="440" w:lineRule="exact"/>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出现断电事故；</w:t>
      </w:r>
    </w:p>
    <w:p w14:paraId="54601E11">
      <w:pPr>
        <w:pageBreakBefore w:val="0"/>
        <w:numPr>
          <w:ilvl w:val="0"/>
          <w:numId w:val="38"/>
        </w:numPr>
        <w:tabs>
          <w:tab w:val="left" w:pos="540"/>
          <w:tab w:val="left" w:pos="2040"/>
        </w:tabs>
        <w:kinsoku/>
        <w:wordWrap/>
        <w:overflowPunct/>
        <w:topLinePunct w:val="0"/>
        <w:autoSpaceDE w:val="0"/>
        <w:autoSpaceDN w:val="0"/>
        <w:bidi w:val="0"/>
        <w:adjustRightInd w:val="0"/>
        <w:spacing w:after="0" w:line="440" w:lineRule="exact"/>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 xml:space="preserve">系统发现有安全漏洞，有潜在的泄密危险； </w:t>
      </w:r>
    </w:p>
    <w:p w14:paraId="066E596E">
      <w:pPr>
        <w:pageBreakBefore w:val="0"/>
        <w:numPr>
          <w:ilvl w:val="0"/>
          <w:numId w:val="38"/>
        </w:numPr>
        <w:tabs>
          <w:tab w:val="left" w:pos="540"/>
          <w:tab w:val="left" w:pos="2040"/>
        </w:tabs>
        <w:kinsoku/>
        <w:wordWrap/>
        <w:overflowPunct/>
        <w:topLinePunct w:val="0"/>
        <w:autoSpaceDE w:val="0"/>
        <w:autoSpaceDN w:val="0"/>
        <w:bidi w:val="0"/>
        <w:adjustRightInd w:val="0"/>
        <w:spacing w:after="0" w:line="440" w:lineRule="exact"/>
        <w:rPr>
          <w:rFonts w:ascii="宋体" w:hAnsi="宋体" w:cs="宋体"/>
          <w:color w:val="auto"/>
          <w:sz w:val="24"/>
          <w:szCs w:val="24"/>
          <w:highlight w:val="none"/>
        </w:rPr>
      </w:pPr>
      <w:r>
        <w:rPr>
          <w:rFonts w:hint="eastAsia" w:ascii="宋体" w:hAnsi="宋体" w:cs="宋体"/>
          <w:snapToGrid w:val="0"/>
          <w:color w:val="auto"/>
          <w:sz w:val="24"/>
          <w:szCs w:val="24"/>
          <w:highlight w:val="none"/>
          <w:lang w:val="zh-CN"/>
        </w:rPr>
        <w:t>其他无</w:t>
      </w:r>
      <w:r>
        <w:rPr>
          <w:rFonts w:hint="eastAsia" w:ascii="宋体" w:hAnsi="宋体" w:cs="宋体"/>
          <w:color w:val="auto"/>
          <w:sz w:val="24"/>
          <w:szCs w:val="24"/>
          <w:highlight w:val="none"/>
        </w:rPr>
        <w:t>法保证开启工作正常进行的情形。</w:t>
      </w:r>
    </w:p>
    <w:p w14:paraId="52698FFA">
      <w:pPr>
        <w:pageBreakBefore w:val="0"/>
        <w:widowControl w:val="0"/>
        <w:numPr>
          <w:ilvl w:val="0"/>
          <w:numId w:val="11"/>
        </w:numPr>
        <w:tabs>
          <w:tab w:val="left" w:pos="360"/>
          <w:tab w:val="left" w:pos="644"/>
        </w:tabs>
        <w:kinsoku/>
        <w:wordWrap/>
        <w:overflowPunct/>
        <w:topLinePunct w:val="0"/>
        <w:bidi w:val="0"/>
        <w:adjustRightInd w:val="0"/>
        <w:spacing w:after="0" w:line="440" w:lineRule="exact"/>
        <w:ind w:left="424" w:hanging="484" w:hangingChars="202"/>
        <w:jc w:val="both"/>
        <w:outlineLvl w:val="1"/>
        <w:rPr>
          <w:rFonts w:ascii="宋体" w:hAnsi="宋体" w:cs="宋体"/>
          <w:color w:val="auto"/>
          <w:sz w:val="24"/>
          <w:szCs w:val="24"/>
          <w:highlight w:val="none"/>
        </w:rPr>
      </w:pPr>
      <w:r>
        <w:rPr>
          <w:rFonts w:hint="eastAsia" w:ascii="宋体" w:hAnsi="宋体" w:cs="宋体"/>
          <w:color w:val="auto"/>
          <w:sz w:val="24"/>
          <w:szCs w:val="24"/>
          <w:highlight w:val="none"/>
        </w:rPr>
        <w:t>评审小组</w:t>
      </w:r>
      <w:r>
        <w:rPr>
          <w:rFonts w:hint="eastAsia" w:ascii="宋体" w:hAnsi="宋体" w:cs="宋体"/>
          <w:snapToGrid w:val="0"/>
          <w:color w:val="auto"/>
          <w:sz w:val="24"/>
          <w:szCs w:val="24"/>
          <w:highlight w:val="none"/>
          <w:lang w:val="zh-CN"/>
        </w:rPr>
        <w:t>和磋商代表</w:t>
      </w:r>
      <w:bookmarkEnd w:id="105"/>
      <w:bookmarkEnd w:id="106"/>
      <w:bookmarkEnd w:id="107"/>
      <w:bookmarkEnd w:id="108"/>
      <w:bookmarkEnd w:id="109"/>
      <w:bookmarkEnd w:id="110"/>
    </w:p>
    <w:p w14:paraId="36C53A72">
      <w:pPr>
        <w:pageBreakBefore w:val="0"/>
        <w:widowControl w:val="0"/>
        <w:numPr>
          <w:ilvl w:val="1"/>
          <w:numId w:val="39"/>
        </w:numPr>
        <w:tabs>
          <w:tab w:val="left" w:pos="851"/>
          <w:tab w:val="clear" w:pos="840"/>
        </w:tabs>
        <w:kinsoku/>
        <w:wordWrap/>
        <w:overflowPunct/>
        <w:topLinePunct w:val="0"/>
        <w:autoSpaceDE w:val="0"/>
        <w:autoSpaceDN w:val="0"/>
        <w:bidi w:val="0"/>
        <w:adjustRightInd w:val="0"/>
        <w:spacing w:after="0" w:line="440" w:lineRule="exact"/>
        <w:ind w:left="567" w:hanging="567"/>
        <w:jc w:val="both"/>
        <w:rPr>
          <w:rFonts w:ascii="宋体" w:hAnsi="宋体"/>
          <w:color w:val="auto"/>
          <w:sz w:val="24"/>
          <w:szCs w:val="24"/>
          <w:highlight w:val="none"/>
        </w:rPr>
      </w:pPr>
      <w:r>
        <w:rPr>
          <w:rFonts w:hint="eastAsia" w:ascii="宋体" w:hAnsi="宋体" w:cs="宋体"/>
          <w:color w:val="auto"/>
          <w:sz w:val="24"/>
          <w:szCs w:val="24"/>
          <w:highlight w:val="none"/>
        </w:rPr>
        <w:t>评审小组</w:t>
      </w:r>
      <w:r>
        <w:rPr>
          <w:rFonts w:hint="eastAsia" w:ascii="宋体" w:hAnsi="宋体" w:cs="宋体"/>
          <w:snapToGrid w:val="0"/>
          <w:color w:val="auto"/>
          <w:sz w:val="24"/>
          <w:szCs w:val="24"/>
          <w:highlight w:val="none"/>
          <w:lang w:val="zh-CN"/>
        </w:rPr>
        <w:t>的组成</w:t>
      </w:r>
    </w:p>
    <w:p w14:paraId="475FEBF9">
      <w:pPr>
        <w:pageBreakBefore w:val="0"/>
        <w:numPr>
          <w:ilvl w:val="0"/>
          <w:numId w:val="40"/>
        </w:numPr>
        <w:tabs>
          <w:tab w:val="left" w:pos="540"/>
          <w:tab w:val="left" w:pos="2040"/>
        </w:tabs>
        <w:kinsoku/>
        <w:wordWrap/>
        <w:overflowPunct/>
        <w:topLinePunct w:val="0"/>
        <w:autoSpaceDE w:val="0"/>
        <w:autoSpaceDN w:val="0"/>
        <w:bidi w:val="0"/>
        <w:adjustRightInd w:val="0"/>
        <w:spacing w:after="0" w:line="440" w:lineRule="exact"/>
        <w:rPr>
          <w:rFonts w:ascii="宋体" w:hAnsi="宋体" w:cs="宋体"/>
          <w:snapToGrid w:val="0"/>
          <w:color w:val="auto"/>
          <w:sz w:val="24"/>
          <w:szCs w:val="24"/>
          <w:highlight w:val="none"/>
          <w:lang w:val="zh-CN"/>
        </w:rPr>
      </w:pPr>
      <w:r>
        <w:rPr>
          <w:rFonts w:hint="eastAsia" w:ascii="宋体" w:hAnsi="宋体" w:cs="宋体"/>
          <w:color w:val="auto"/>
          <w:sz w:val="24"/>
          <w:szCs w:val="24"/>
          <w:highlight w:val="none"/>
        </w:rPr>
        <w:t>采购人</w:t>
      </w:r>
      <w:r>
        <w:rPr>
          <w:rFonts w:hint="eastAsia" w:ascii="宋体" w:hAnsi="宋体" w:cs="宋体"/>
          <w:color w:val="auto"/>
          <w:sz w:val="24"/>
          <w:szCs w:val="24"/>
          <w:highlight w:val="none"/>
          <w:lang w:val="en-US" w:eastAsia="zh-CN"/>
        </w:rPr>
        <w:t>参照</w:t>
      </w:r>
      <w:r>
        <w:rPr>
          <w:rFonts w:hint="eastAsia" w:ascii="宋体" w:hAnsi="宋体" w:cs="宋体"/>
          <w:snapToGrid w:val="0"/>
          <w:color w:val="auto"/>
          <w:sz w:val="24"/>
          <w:szCs w:val="24"/>
          <w:highlight w:val="none"/>
          <w:lang w:val="zh-CN"/>
        </w:rPr>
        <w:t>《政府采购法》、《政府采购法实施条例》、《政府采购竞争性磋商采购方式管理暂行办法》及现行法律规定组建评审小组。评审小组由采购人代表和评审专家（技术、经济、法律等方面）共3人以上单数组成。</w:t>
      </w:r>
    </w:p>
    <w:p w14:paraId="45EC9103">
      <w:pPr>
        <w:pageBreakBefore w:val="0"/>
        <w:numPr>
          <w:ilvl w:val="0"/>
          <w:numId w:val="40"/>
        </w:numPr>
        <w:tabs>
          <w:tab w:val="left" w:pos="540"/>
          <w:tab w:val="left" w:pos="2040"/>
        </w:tabs>
        <w:kinsoku/>
        <w:wordWrap/>
        <w:overflowPunct/>
        <w:topLinePunct w:val="0"/>
        <w:autoSpaceDE w:val="0"/>
        <w:autoSpaceDN w:val="0"/>
        <w:bidi w:val="0"/>
        <w:adjustRightInd w:val="0"/>
        <w:spacing w:after="0" w:line="440" w:lineRule="exact"/>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评审小组中的评审专家人数不少于评审小组成员总数的2/3。</w:t>
      </w:r>
    </w:p>
    <w:p w14:paraId="1F840CF7">
      <w:pPr>
        <w:pageBreakBefore w:val="0"/>
        <w:widowControl w:val="0"/>
        <w:numPr>
          <w:ilvl w:val="1"/>
          <w:numId w:val="39"/>
        </w:numPr>
        <w:tabs>
          <w:tab w:val="left" w:pos="851"/>
          <w:tab w:val="clear" w:pos="840"/>
        </w:tabs>
        <w:kinsoku/>
        <w:wordWrap/>
        <w:overflowPunct/>
        <w:topLinePunct w:val="0"/>
        <w:autoSpaceDE w:val="0"/>
        <w:autoSpaceDN w:val="0"/>
        <w:bidi w:val="0"/>
        <w:adjustRightInd w:val="0"/>
        <w:spacing w:after="0" w:line="440" w:lineRule="exact"/>
        <w:ind w:left="567" w:hanging="567"/>
        <w:jc w:val="both"/>
        <w:rPr>
          <w:rFonts w:ascii="宋体" w:hAnsi="宋体"/>
          <w:color w:val="auto"/>
          <w:sz w:val="24"/>
          <w:szCs w:val="24"/>
          <w:highlight w:val="none"/>
        </w:rPr>
      </w:pPr>
      <w:r>
        <w:rPr>
          <w:rFonts w:hint="eastAsia" w:ascii="宋体" w:hAnsi="宋体" w:cs="宋体"/>
          <w:snapToGrid w:val="0"/>
          <w:color w:val="auto"/>
          <w:sz w:val="24"/>
          <w:szCs w:val="24"/>
          <w:highlight w:val="none"/>
          <w:lang w:val="zh-CN"/>
        </w:rPr>
        <w:t>磋商代表</w:t>
      </w:r>
    </w:p>
    <w:p w14:paraId="27F21049">
      <w:pPr>
        <w:pageBreakBefore w:val="0"/>
        <w:tabs>
          <w:tab w:val="left" w:pos="426"/>
          <w:tab w:val="left" w:pos="540"/>
        </w:tabs>
        <w:kinsoku/>
        <w:wordWrap/>
        <w:overflowPunct/>
        <w:topLinePunct w:val="0"/>
        <w:autoSpaceDE w:val="0"/>
        <w:autoSpaceDN w:val="0"/>
        <w:bidi w:val="0"/>
        <w:adjustRightInd w:val="0"/>
        <w:spacing w:after="0" w:line="440" w:lineRule="exact"/>
        <w:ind w:left="425" w:firstLine="480" w:firstLineChars="200"/>
        <w:rPr>
          <w:rFonts w:ascii="宋体" w:hAnsi="宋体"/>
          <w:color w:val="auto"/>
          <w:sz w:val="24"/>
          <w:szCs w:val="24"/>
          <w:highlight w:val="none"/>
        </w:rPr>
      </w:pPr>
      <w:r>
        <w:rPr>
          <w:rFonts w:hint="eastAsia" w:ascii="宋体" w:hAnsi="宋体"/>
          <w:color w:val="auto"/>
          <w:sz w:val="24"/>
          <w:szCs w:val="24"/>
          <w:highlight w:val="none"/>
        </w:rPr>
        <w:t>供应商法定代表人或授权代表</w:t>
      </w:r>
      <w:r>
        <w:rPr>
          <w:rFonts w:hint="eastAsia" w:ascii="宋体" w:hAnsi="宋体" w:cs="宋体"/>
          <w:color w:val="auto"/>
          <w:sz w:val="24"/>
          <w:szCs w:val="24"/>
          <w:highlight w:val="none"/>
        </w:rPr>
        <w:t>及项目相关的商务技术人员</w:t>
      </w:r>
      <w:r>
        <w:rPr>
          <w:rFonts w:hint="eastAsia" w:ascii="宋体" w:hAnsi="宋体"/>
          <w:color w:val="auto"/>
          <w:sz w:val="24"/>
          <w:szCs w:val="24"/>
          <w:highlight w:val="none"/>
        </w:rPr>
        <w:t>应在线参与磋商活动，磋商期间，供应商应保持网络畅通，并关注电子交易平台发出的相关信息。</w:t>
      </w:r>
    </w:p>
    <w:p w14:paraId="0C678EF9">
      <w:pPr>
        <w:pageBreakBefore w:val="0"/>
        <w:widowControl w:val="0"/>
        <w:numPr>
          <w:ilvl w:val="0"/>
          <w:numId w:val="11"/>
        </w:numPr>
        <w:tabs>
          <w:tab w:val="left" w:pos="360"/>
          <w:tab w:val="left" w:pos="644"/>
        </w:tabs>
        <w:kinsoku/>
        <w:wordWrap/>
        <w:overflowPunct/>
        <w:topLinePunct w:val="0"/>
        <w:bidi w:val="0"/>
        <w:adjustRightInd w:val="0"/>
        <w:spacing w:after="0" w:line="440" w:lineRule="exact"/>
        <w:ind w:left="424" w:hanging="484" w:hangingChars="202"/>
        <w:jc w:val="both"/>
        <w:outlineLvl w:val="1"/>
        <w:rPr>
          <w:rFonts w:ascii="宋体" w:hAnsi="宋体" w:cs="宋体"/>
          <w:color w:val="auto"/>
          <w:sz w:val="24"/>
          <w:szCs w:val="24"/>
          <w:highlight w:val="none"/>
        </w:rPr>
      </w:pPr>
      <w:r>
        <w:rPr>
          <w:rFonts w:hint="eastAsia" w:ascii="宋体" w:hAnsi="宋体" w:cs="宋体"/>
          <w:snapToGrid w:val="0"/>
          <w:color w:val="auto"/>
          <w:sz w:val="24"/>
          <w:szCs w:val="24"/>
          <w:highlight w:val="none"/>
          <w:lang w:val="zh-CN"/>
        </w:rPr>
        <w:t>资格</w:t>
      </w:r>
      <w:r>
        <w:rPr>
          <w:rFonts w:hint="eastAsia" w:ascii="宋体" w:hAnsi="宋体" w:cs="宋体"/>
          <w:color w:val="auto"/>
          <w:sz w:val="24"/>
          <w:szCs w:val="24"/>
          <w:highlight w:val="none"/>
        </w:rPr>
        <w:t>和符合性审查</w:t>
      </w:r>
    </w:p>
    <w:p w14:paraId="7BE4A0BF">
      <w:pPr>
        <w:pageBreakBefore w:val="0"/>
        <w:widowControl w:val="0"/>
        <w:numPr>
          <w:ilvl w:val="1"/>
          <w:numId w:val="41"/>
        </w:numPr>
        <w:kinsoku/>
        <w:wordWrap/>
        <w:overflowPunct/>
        <w:topLinePunct w:val="0"/>
        <w:autoSpaceDE w:val="0"/>
        <w:autoSpaceDN w:val="0"/>
        <w:bidi w:val="0"/>
        <w:adjustRightInd w:val="0"/>
        <w:spacing w:after="0" w:line="440" w:lineRule="exact"/>
        <w:ind w:left="567" w:hanging="567"/>
        <w:jc w:val="both"/>
        <w:rPr>
          <w:rFonts w:ascii="宋体" w:hAnsi="宋体"/>
          <w:color w:val="auto"/>
          <w:sz w:val="24"/>
          <w:szCs w:val="24"/>
          <w:highlight w:val="none"/>
        </w:rPr>
      </w:pPr>
      <w:r>
        <w:rPr>
          <w:rFonts w:hint="eastAsia" w:ascii="宋体" w:hAnsi="宋体"/>
          <w:color w:val="auto"/>
          <w:sz w:val="24"/>
          <w:szCs w:val="24"/>
          <w:highlight w:val="none"/>
        </w:rPr>
        <w:t>在正式磋商前，评审小组对已解密的响应文件进行资格审查和符合性审查，资格审查和符合性审查内容详见第四章“评审办法及评分标准”。</w:t>
      </w:r>
    </w:p>
    <w:p w14:paraId="0CF7CBBB">
      <w:pPr>
        <w:pageBreakBefore w:val="0"/>
        <w:widowControl w:val="0"/>
        <w:numPr>
          <w:ilvl w:val="1"/>
          <w:numId w:val="41"/>
        </w:numPr>
        <w:kinsoku/>
        <w:wordWrap/>
        <w:overflowPunct/>
        <w:topLinePunct w:val="0"/>
        <w:autoSpaceDE w:val="0"/>
        <w:autoSpaceDN w:val="0"/>
        <w:bidi w:val="0"/>
        <w:adjustRightInd w:val="0"/>
        <w:spacing w:after="0" w:line="440" w:lineRule="exact"/>
        <w:ind w:left="567" w:hanging="567"/>
        <w:jc w:val="both"/>
        <w:rPr>
          <w:rFonts w:ascii="宋体" w:hAnsi="宋体"/>
          <w:color w:val="auto"/>
          <w:sz w:val="24"/>
          <w:szCs w:val="24"/>
          <w:highlight w:val="none"/>
        </w:rPr>
      </w:pPr>
      <w:bookmarkStart w:id="111" w:name="_Toc20182"/>
      <w:bookmarkStart w:id="112" w:name="_Toc494561943"/>
      <w:r>
        <w:rPr>
          <w:rFonts w:hint="eastAsia" w:ascii="宋体" w:hAnsi="宋体"/>
          <w:color w:val="auto"/>
          <w:sz w:val="24"/>
          <w:szCs w:val="24"/>
          <w:highlight w:val="none"/>
        </w:rPr>
        <w:t>供应商信用信息及查询</w:t>
      </w:r>
      <w:bookmarkEnd w:id="111"/>
      <w:bookmarkEnd w:id="112"/>
    </w:p>
    <w:p w14:paraId="194F80A7">
      <w:pPr>
        <w:pageBreakBefore w:val="0"/>
        <w:widowControl w:val="0"/>
        <w:numPr>
          <w:ilvl w:val="0"/>
          <w:numId w:val="42"/>
        </w:numPr>
        <w:tabs>
          <w:tab w:val="left" w:pos="540"/>
          <w:tab w:val="left" w:pos="567"/>
          <w:tab w:val="left" w:pos="2040"/>
        </w:tabs>
        <w:kinsoku/>
        <w:wordWrap/>
        <w:overflowPunct/>
        <w:topLinePunct w:val="0"/>
        <w:autoSpaceDE w:val="0"/>
        <w:autoSpaceDN w:val="0"/>
        <w:bidi w:val="0"/>
        <w:adjustRightInd w:val="0"/>
        <w:spacing w:after="0" w:line="440" w:lineRule="exact"/>
        <w:jc w:val="both"/>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lang w:val="zh-CN"/>
        </w:rPr>
        <w:t>按照《关于在政府采购活动中查询及使用信用记录有关问题的通知》的要求</w:t>
      </w:r>
      <w:r>
        <w:rPr>
          <w:rFonts w:hint="eastAsia" w:ascii="宋体" w:hAnsi="宋体" w:cs="宋体"/>
          <w:snapToGrid w:val="0"/>
          <w:color w:val="auto"/>
          <w:sz w:val="24"/>
          <w:szCs w:val="24"/>
          <w:highlight w:val="none"/>
        </w:rPr>
        <w:t>，</w:t>
      </w:r>
      <w:r>
        <w:rPr>
          <w:rFonts w:hint="eastAsia" w:ascii="宋体" w:hAnsi="宋体" w:cs="宋体"/>
          <w:snapToGrid w:val="0"/>
          <w:color w:val="auto"/>
          <w:sz w:val="24"/>
          <w:szCs w:val="24"/>
          <w:highlight w:val="none"/>
          <w:lang w:val="zh-CN"/>
        </w:rPr>
        <w:t>参与政府采购的供应商</w:t>
      </w:r>
      <w:r>
        <w:rPr>
          <w:rFonts w:hint="eastAsia" w:ascii="宋体" w:hAnsi="宋体" w:cs="宋体"/>
          <w:snapToGrid w:val="0"/>
          <w:color w:val="auto"/>
          <w:sz w:val="24"/>
          <w:szCs w:val="24"/>
          <w:highlight w:val="none"/>
        </w:rPr>
        <w:t>，</w:t>
      </w:r>
      <w:r>
        <w:rPr>
          <w:rFonts w:hint="eastAsia" w:ascii="宋体" w:hAnsi="宋体" w:cs="宋体"/>
          <w:snapToGrid w:val="0"/>
          <w:color w:val="auto"/>
          <w:sz w:val="24"/>
          <w:szCs w:val="24"/>
          <w:highlight w:val="none"/>
          <w:lang w:val="zh-CN"/>
        </w:rPr>
        <w:t>信用记录的查询渠道为</w:t>
      </w:r>
      <w:r>
        <w:rPr>
          <w:rFonts w:hint="eastAsia" w:ascii="宋体" w:hAnsi="宋体" w:cs="宋体"/>
          <w:snapToGrid w:val="0"/>
          <w:color w:val="auto"/>
          <w:sz w:val="24"/>
          <w:szCs w:val="24"/>
          <w:highlight w:val="none"/>
        </w:rPr>
        <w:t>“</w:t>
      </w:r>
      <w:r>
        <w:rPr>
          <w:rFonts w:hint="eastAsia" w:ascii="宋体" w:hAnsi="宋体" w:cs="宋体"/>
          <w:snapToGrid w:val="0"/>
          <w:color w:val="auto"/>
          <w:sz w:val="24"/>
          <w:szCs w:val="24"/>
          <w:highlight w:val="none"/>
          <w:lang w:val="zh-CN"/>
        </w:rPr>
        <w:t>信用中国</w:t>
      </w:r>
      <w:r>
        <w:rPr>
          <w:rFonts w:hint="eastAsia" w:ascii="宋体" w:hAnsi="宋体" w:cs="宋体"/>
          <w:snapToGrid w:val="0"/>
          <w:color w:val="auto"/>
          <w:sz w:val="24"/>
          <w:szCs w:val="24"/>
          <w:highlight w:val="none"/>
        </w:rPr>
        <w:t>”</w:t>
      </w:r>
      <w:r>
        <w:rPr>
          <w:rFonts w:hint="eastAsia" w:ascii="宋体" w:hAnsi="宋体" w:cs="宋体"/>
          <w:snapToGrid w:val="0"/>
          <w:color w:val="auto"/>
          <w:sz w:val="24"/>
          <w:szCs w:val="24"/>
          <w:highlight w:val="none"/>
          <w:lang w:val="zh-CN"/>
        </w:rPr>
        <w:t>网站</w:t>
      </w:r>
      <w:r>
        <w:rPr>
          <w:rFonts w:hint="eastAsia" w:ascii="宋体" w:hAnsi="宋体" w:cs="宋体"/>
          <w:snapToGrid w:val="0"/>
          <w:color w:val="auto"/>
          <w:sz w:val="24"/>
          <w:szCs w:val="24"/>
          <w:highlight w:val="none"/>
        </w:rPr>
        <w:t>(www.creditchina.gov.cn)</w:t>
      </w:r>
      <w:r>
        <w:rPr>
          <w:rFonts w:hint="eastAsia" w:ascii="宋体" w:hAnsi="宋体" w:cs="宋体"/>
          <w:snapToGrid w:val="0"/>
          <w:color w:val="auto"/>
          <w:sz w:val="24"/>
          <w:szCs w:val="24"/>
          <w:highlight w:val="none"/>
          <w:lang w:val="zh-CN"/>
        </w:rPr>
        <w:t>。</w:t>
      </w:r>
    </w:p>
    <w:p w14:paraId="1A075798">
      <w:pPr>
        <w:pageBreakBefore w:val="0"/>
        <w:widowControl w:val="0"/>
        <w:numPr>
          <w:ilvl w:val="0"/>
          <w:numId w:val="42"/>
        </w:numPr>
        <w:tabs>
          <w:tab w:val="left" w:pos="540"/>
          <w:tab w:val="left" w:pos="567"/>
          <w:tab w:val="left" w:pos="2040"/>
        </w:tabs>
        <w:kinsoku/>
        <w:wordWrap/>
        <w:overflowPunct/>
        <w:topLinePunct w:val="0"/>
        <w:autoSpaceDE w:val="0"/>
        <w:autoSpaceDN w:val="0"/>
        <w:bidi w:val="0"/>
        <w:adjustRightInd w:val="0"/>
        <w:spacing w:after="0" w:line="440" w:lineRule="exact"/>
        <w:jc w:val="both"/>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列入失信被执行人、税收违法黑名单或重大税收违法失信主体、政府采购严重违法失信行为记录名单的供应商，政府采购代理机构拒绝其参与政府采购活动。</w:t>
      </w:r>
    </w:p>
    <w:p w14:paraId="26B81C4A">
      <w:pPr>
        <w:pageBreakBefore w:val="0"/>
        <w:widowControl w:val="0"/>
        <w:numPr>
          <w:ilvl w:val="0"/>
          <w:numId w:val="42"/>
        </w:numPr>
        <w:tabs>
          <w:tab w:val="left" w:pos="540"/>
          <w:tab w:val="left" w:pos="567"/>
          <w:tab w:val="left" w:pos="2040"/>
        </w:tabs>
        <w:kinsoku/>
        <w:wordWrap/>
        <w:overflowPunct/>
        <w:topLinePunct w:val="0"/>
        <w:autoSpaceDE w:val="0"/>
        <w:autoSpaceDN w:val="0"/>
        <w:bidi w:val="0"/>
        <w:adjustRightInd w:val="0"/>
        <w:spacing w:after="0" w:line="440" w:lineRule="exact"/>
        <w:jc w:val="both"/>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14:paraId="002213F6">
      <w:pPr>
        <w:pageBreakBefore w:val="0"/>
        <w:widowControl w:val="0"/>
        <w:numPr>
          <w:ilvl w:val="0"/>
          <w:numId w:val="42"/>
        </w:numPr>
        <w:tabs>
          <w:tab w:val="left" w:pos="540"/>
          <w:tab w:val="left" w:pos="567"/>
          <w:tab w:val="left" w:pos="2040"/>
        </w:tabs>
        <w:kinsoku/>
        <w:wordWrap/>
        <w:overflowPunct/>
        <w:topLinePunct w:val="0"/>
        <w:autoSpaceDE w:val="0"/>
        <w:autoSpaceDN w:val="0"/>
        <w:bidi w:val="0"/>
        <w:adjustRightInd w:val="0"/>
        <w:spacing w:after="0" w:line="440" w:lineRule="exact"/>
        <w:jc w:val="both"/>
        <w:rPr>
          <w:rFonts w:ascii="宋体" w:hAnsi="宋体"/>
          <w:color w:val="auto"/>
          <w:sz w:val="24"/>
          <w:szCs w:val="24"/>
          <w:highlight w:val="none"/>
        </w:rPr>
      </w:pPr>
      <w:r>
        <w:rPr>
          <w:rFonts w:hint="eastAsia" w:ascii="宋体" w:hAnsi="宋体" w:cs="宋体"/>
          <w:snapToGrid w:val="0"/>
          <w:color w:val="auto"/>
          <w:sz w:val="24"/>
          <w:szCs w:val="24"/>
          <w:highlight w:val="none"/>
          <w:lang w:val="zh-CN"/>
        </w:rPr>
        <w:t>在资格审查与评审工作未同日进行的特殊情形下，政府采购代理机构工作人员在评审时对供应商的信用信息进行复核</w:t>
      </w:r>
      <w:r>
        <w:rPr>
          <w:rFonts w:hint="eastAsia" w:ascii="宋体" w:hAnsi="宋体" w:cs="Helvetica"/>
          <w:color w:val="auto"/>
          <w:sz w:val="24"/>
          <w:szCs w:val="24"/>
          <w:highlight w:val="none"/>
          <w:lang w:val="zh-CN"/>
        </w:rPr>
        <w:t>，发现评审当日存在不良信用信息的，由评审委员会按照符合性审查不合格作无效响应处理。</w:t>
      </w:r>
    </w:p>
    <w:p w14:paraId="36646603">
      <w:pPr>
        <w:pageBreakBefore w:val="0"/>
        <w:widowControl w:val="0"/>
        <w:numPr>
          <w:ilvl w:val="0"/>
          <w:numId w:val="11"/>
        </w:numPr>
        <w:tabs>
          <w:tab w:val="left" w:pos="360"/>
          <w:tab w:val="left" w:pos="644"/>
        </w:tabs>
        <w:kinsoku/>
        <w:wordWrap/>
        <w:overflowPunct/>
        <w:topLinePunct w:val="0"/>
        <w:bidi w:val="0"/>
        <w:adjustRightInd w:val="0"/>
        <w:spacing w:after="0" w:line="440" w:lineRule="exact"/>
        <w:ind w:left="424" w:hanging="484" w:hangingChars="202"/>
        <w:jc w:val="both"/>
        <w:outlineLvl w:val="1"/>
        <w:rPr>
          <w:rFonts w:ascii="宋体" w:hAnsi="宋体" w:cs="宋体"/>
          <w:color w:val="auto"/>
          <w:sz w:val="24"/>
          <w:szCs w:val="24"/>
          <w:highlight w:val="none"/>
        </w:rPr>
      </w:pPr>
      <w:r>
        <w:rPr>
          <w:rFonts w:hint="eastAsia" w:ascii="宋体" w:hAnsi="宋体" w:cs="宋体"/>
          <w:color w:val="auto"/>
          <w:sz w:val="24"/>
          <w:szCs w:val="24"/>
          <w:highlight w:val="none"/>
        </w:rPr>
        <w:t>响应</w:t>
      </w:r>
      <w:r>
        <w:rPr>
          <w:rFonts w:hint="eastAsia" w:ascii="宋体" w:hAnsi="宋体" w:cs="宋体"/>
          <w:snapToGrid w:val="0"/>
          <w:color w:val="auto"/>
          <w:sz w:val="24"/>
          <w:szCs w:val="24"/>
          <w:highlight w:val="none"/>
          <w:lang w:val="zh-CN"/>
        </w:rPr>
        <w:t>文件</w:t>
      </w:r>
      <w:r>
        <w:rPr>
          <w:rFonts w:hint="eastAsia" w:ascii="宋体" w:hAnsi="宋体" w:cs="宋体"/>
          <w:color w:val="auto"/>
          <w:sz w:val="24"/>
          <w:szCs w:val="24"/>
          <w:highlight w:val="none"/>
        </w:rPr>
        <w:t>的澄清和说明</w:t>
      </w:r>
    </w:p>
    <w:p w14:paraId="44AA49EC">
      <w:pPr>
        <w:pageBreakBefore w:val="0"/>
        <w:widowControl w:val="0"/>
        <w:numPr>
          <w:ilvl w:val="1"/>
          <w:numId w:val="43"/>
        </w:numPr>
        <w:tabs>
          <w:tab w:val="left" w:pos="709"/>
        </w:tabs>
        <w:kinsoku/>
        <w:wordWrap/>
        <w:overflowPunct/>
        <w:topLinePunct w:val="0"/>
        <w:autoSpaceDE w:val="0"/>
        <w:autoSpaceDN w:val="0"/>
        <w:bidi w:val="0"/>
        <w:adjustRightInd w:val="0"/>
        <w:spacing w:after="0" w:line="440" w:lineRule="exact"/>
        <w:ind w:left="567" w:hanging="567"/>
        <w:jc w:val="both"/>
        <w:rPr>
          <w:rFonts w:ascii="宋体" w:hAnsi="宋体" w:cs="宋体"/>
          <w:color w:val="auto"/>
          <w:sz w:val="24"/>
          <w:szCs w:val="24"/>
          <w:highlight w:val="none"/>
        </w:rPr>
      </w:pPr>
      <w:r>
        <w:rPr>
          <w:rFonts w:hint="eastAsia" w:ascii="宋体" w:hAnsi="宋体" w:cs="宋体"/>
          <w:color w:val="auto"/>
          <w:sz w:val="24"/>
          <w:szCs w:val="24"/>
          <w:highlight w:val="none"/>
        </w:rPr>
        <w:t>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3E2B9E0">
      <w:pPr>
        <w:pageBreakBefore w:val="0"/>
        <w:widowControl w:val="0"/>
        <w:numPr>
          <w:ilvl w:val="1"/>
          <w:numId w:val="43"/>
        </w:numPr>
        <w:tabs>
          <w:tab w:val="left" w:pos="709"/>
        </w:tabs>
        <w:kinsoku/>
        <w:wordWrap/>
        <w:overflowPunct/>
        <w:topLinePunct w:val="0"/>
        <w:autoSpaceDE w:val="0"/>
        <w:autoSpaceDN w:val="0"/>
        <w:bidi w:val="0"/>
        <w:adjustRightInd w:val="0"/>
        <w:spacing w:after="0" w:line="440" w:lineRule="exact"/>
        <w:ind w:left="567" w:hanging="567"/>
        <w:jc w:val="both"/>
        <w:rPr>
          <w:rFonts w:ascii="宋体" w:hAnsi="宋体" w:cs="宋体"/>
          <w:color w:val="auto"/>
          <w:sz w:val="24"/>
          <w:szCs w:val="24"/>
          <w:highlight w:val="none"/>
        </w:rPr>
      </w:pPr>
      <w:r>
        <w:rPr>
          <w:rFonts w:hint="eastAsia" w:ascii="宋体" w:hAnsi="宋体" w:cs="宋体"/>
          <w:color w:val="auto"/>
          <w:sz w:val="24"/>
          <w:szCs w:val="24"/>
          <w:highlight w:val="none"/>
        </w:rPr>
        <w:t>评审小组要求供应商澄清、说明或者更正响应文件应以书面形式作出。供应商的澄清、说明或者更正应当由法定代表人或其法定代表人或授权代表（签名）或者加盖公章。</w:t>
      </w:r>
    </w:p>
    <w:p w14:paraId="3C01A9BB">
      <w:pPr>
        <w:pageBreakBefore w:val="0"/>
        <w:widowControl w:val="0"/>
        <w:numPr>
          <w:ilvl w:val="0"/>
          <w:numId w:val="11"/>
        </w:numPr>
        <w:tabs>
          <w:tab w:val="left" w:pos="360"/>
          <w:tab w:val="left" w:pos="644"/>
        </w:tabs>
        <w:kinsoku/>
        <w:wordWrap/>
        <w:overflowPunct/>
        <w:topLinePunct w:val="0"/>
        <w:bidi w:val="0"/>
        <w:adjustRightInd w:val="0"/>
        <w:spacing w:after="0" w:line="440" w:lineRule="exact"/>
        <w:ind w:left="424" w:hanging="484" w:hangingChars="202"/>
        <w:jc w:val="both"/>
        <w:outlineLvl w:val="1"/>
        <w:rPr>
          <w:rFonts w:ascii="宋体" w:hAnsi="宋体" w:cs="宋体"/>
          <w:color w:val="auto"/>
          <w:sz w:val="24"/>
          <w:szCs w:val="24"/>
          <w:highlight w:val="none"/>
        </w:rPr>
      </w:pPr>
      <w:r>
        <w:rPr>
          <w:rFonts w:hint="eastAsia" w:ascii="宋体" w:hAnsi="宋体" w:cs="宋体"/>
          <w:snapToGrid w:val="0"/>
          <w:color w:val="auto"/>
          <w:sz w:val="24"/>
          <w:szCs w:val="24"/>
          <w:highlight w:val="none"/>
          <w:lang w:val="zh-CN"/>
        </w:rPr>
        <w:t>磋商</w:t>
      </w:r>
    </w:p>
    <w:p w14:paraId="26D93F3B">
      <w:pPr>
        <w:pageBreakBefore w:val="0"/>
        <w:widowControl w:val="0"/>
        <w:numPr>
          <w:ilvl w:val="1"/>
          <w:numId w:val="44"/>
        </w:numPr>
        <w:tabs>
          <w:tab w:val="left" w:pos="567"/>
          <w:tab w:val="clear" w:pos="840"/>
        </w:tabs>
        <w:kinsoku/>
        <w:wordWrap/>
        <w:overflowPunct/>
        <w:topLinePunct w:val="0"/>
        <w:autoSpaceDE w:val="0"/>
        <w:autoSpaceDN w:val="0"/>
        <w:bidi w:val="0"/>
        <w:adjustRightInd w:val="0"/>
        <w:spacing w:after="0" w:line="440" w:lineRule="exact"/>
        <w:ind w:left="567" w:hanging="567"/>
        <w:jc w:val="both"/>
        <w:rPr>
          <w:rFonts w:ascii="宋体" w:hAnsi="宋体" w:cs="宋体"/>
          <w:color w:val="auto"/>
          <w:sz w:val="24"/>
          <w:szCs w:val="24"/>
          <w:highlight w:val="none"/>
        </w:rPr>
      </w:pPr>
      <w:r>
        <w:rPr>
          <w:rFonts w:hint="eastAsia" w:ascii="宋体" w:hAnsi="宋体"/>
          <w:color w:val="auto"/>
          <w:sz w:val="24"/>
          <w:szCs w:val="24"/>
          <w:highlight w:val="none"/>
        </w:rPr>
        <w:t>评审小组根据采购文件规定的程序、方法和标准与供应商进行磋商。在磋商过程中，磋商的任何一方不得透露与磋商有关的其他供应商的技术资料、价格和其他信息。</w:t>
      </w:r>
    </w:p>
    <w:p w14:paraId="775B7B2B">
      <w:pPr>
        <w:pageBreakBefore w:val="0"/>
        <w:widowControl w:val="0"/>
        <w:numPr>
          <w:ilvl w:val="1"/>
          <w:numId w:val="44"/>
        </w:numPr>
        <w:tabs>
          <w:tab w:val="left" w:pos="567"/>
          <w:tab w:val="clear" w:pos="840"/>
        </w:tabs>
        <w:kinsoku/>
        <w:wordWrap/>
        <w:overflowPunct/>
        <w:topLinePunct w:val="0"/>
        <w:autoSpaceDE w:val="0"/>
        <w:autoSpaceDN w:val="0"/>
        <w:bidi w:val="0"/>
        <w:adjustRightInd w:val="0"/>
        <w:spacing w:after="0" w:line="440" w:lineRule="exact"/>
        <w:ind w:left="567" w:hanging="567"/>
        <w:jc w:val="both"/>
        <w:rPr>
          <w:rFonts w:ascii="宋体" w:hAnsi="宋体" w:cs="宋体"/>
          <w:color w:val="auto"/>
          <w:sz w:val="24"/>
          <w:szCs w:val="24"/>
          <w:highlight w:val="none"/>
        </w:rPr>
      </w:pPr>
      <w:r>
        <w:rPr>
          <w:rFonts w:hint="eastAsia" w:ascii="宋体" w:hAnsi="宋体" w:cs="宋体"/>
          <w:color w:val="auto"/>
          <w:sz w:val="24"/>
          <w:szCs w:val="24"/>
          <w:highlight w:val="none"/>
        </w:rPr>
        <w:t>评审小组将按照</w:t>
      </w:r>
      <w:r>
        <w:rPr>
          <w:rFonts w:hint="eastAsia" w:ascii="宋体" w:hAnsi="宋体" w:cs="宋体"/>
          <w:snapToGrid w:val="0"/>
          <w:color w:val="auto"/>
          <w:sz w:val="24"/>
          <w:szCs w:val="24"/>
          <w:highlight w:val="none"/>
          <w:lang w:val="zh-CN"/>
        </w:rPr>
        <w:t>《供应商须知前附表》规定的磋商顺序</w:t>
      </w:r>
      <w:r>
        <w:rPr>
          <w:rFonts w:hint="eastAsia" w:ascii="宋体" w:hAnsi="宋体" w:cs="宋体"/>
          <w:color w:val="auto"/>
          <w:sz w:val="24"/>
          <w:szCs w:val="24"/>
          <w:highlight w:val="none"/>
        </w:rPr>
        <w:t>，集中与单一供应商分别进行磋商，并给予所有参加磋商的供应商平等的磋商机会。</w:t>
      </w:r>
    </w:p>
    <w:p w14:paraId="0B911E6E">
      <w:pPr>
        <w:pageBreakBefore w:val="0"/>
        <w:widowControl w:val="0"/>
        <w:numPr>
          <w:ilvl w:val="1"/>
          <w:numId w:val="44"/>
        </w:numPr>
        <w:tabs>
          <w:tab w:val="left" w:pos="567"/>
          <w:tab w:val="clear" w:pos="840"/>
        </w:tabs>
        <w:kinsoku/>
        <w:wordWrap/>
        <w:overflowPunct/>
        <w:topLinePunct w:val="0"/>
        <w:autoSpaceDE w:val="0"/>
        <w:autoSpaceDN w:val="0"/>
        <w:bidi w:val="0"/>
        <w:adjustRightInd w:val="0"/>
        <w:spacing w:after="0" w:line="440" w:lineRule="exact"/>
        <w:ind w:left="567" w:hanging="567"/>
        <w:jc w:val="both"/>
        <w:rPr>
          <w:rFonts w:ascii="宋体" w:hAnsi="宋体" w:cs="宋体"/>
          <w:color w:val="auto"/>
          <w:sz w:val="24"/>
          <w:szCs w:val="24"/>
          <w:highlight w:val="none"/>
        </w:rPr>
      </w:pPr>
      <w:r>
        <w:rPr>
          <w:rFonts w:hint="eastAsia" w:ascii="宋体" w:hAnsi="宋体" w:cs="宋体"/>
          <w:color w:val="auto"/>
          <w:sz w:val="24"/>
          <w:szCs w:val="24"/>
          <w:highlight w:val="none"/>
        </w:rPr>
        <w:t>在磋商过程中，评审小组可根据采购文件和磋商情况实质性变动采购需求中的技术、服务要求以及合同草案条款，但不得变动采购文件中的其他内容。实质性变动的内容，须经采购人代表确认。</w:t>
      </w:r>
    </w:p>
    <w:p w14:paraId="59491489">
      <w:pPr>
        <w:pageBreakBefore w:val="0"/>
        <w:widowControl w:val="0"/>
        <w:numPr>
          <w:ilvl w:val="1"/>
          <w:numId w:val="44"/>
        </w:numPr>
        <w:tabs>
          <w:tab w:val="left" w:pos="567"/>
          <w:tab w:val="clear" w:pos="840"/>
        </w:tabs>
        <w:kinsoku/>
        <w:wordWrap/>
        <w:overflowPunct/>
        <w:topLinePunct w:val="0"/>
        <w:autoSpaceDE w:val="0"/>
        <w:autoSpaceDN w:val="0"/>
        <w:bidi w:val="0"/>
        <w:adjustRightInd w:val="0"/>
        <w:spacing w:after="0" w:line="440" w:lineRule="exact"/>
        <w:ind w:left="567" w:hanging="567"/>
        <w:jc w:val="both"/>
        <w:rPr>
          <w:rFonts w:ascii="宋体" w:hAnsi="宋体" w:cs="宋体"/>
          <w:color w:val="auto"/>
          <w:sz w:val="24"/>
          <w:szCs w:val="24"/>
          <w:highlight w:val="none"/>
        </w:rPr>
      </w:pPr>
      <w:r>
        <w:rPr>
          <w:rFonts w:hint="eastAsia" w:ascii="宋体" w:hAnsi="宋体" w:cs="宋体"/>
          <w:color w:val="auto"/>
          <w:sz w:val="24"/>
          <w:szCs w:val="24"/>
          <w:highlight w:val="none"/>
        </w:rPr>
        <w:t>对采购文件作出的实质性变动是采购文件的有效组成部分，评审小组应当及时以书面形式同时通知所有参加磋商的供应商。</w:t>
      </w:r>
    </w:p>
    <w:p w14:paraId="63A5BCE9">
      <w:pPr>
        <w:pageBreakBefore w:val="0"/>
        <w:widowControl w:val="0"/>
        <w:numPr>
          <w:ilvl w:val="1"/>
          <w:numId w:val="44"/>
        </w:numPr>
        <w:tabs>
          <w:tab w:val="left" w:pos="567"/>
          <w:tab w:val="clear" w:pos="840"/>
        </w:tabs>
        <w:kinsoku/>
        <w:wordWrap/>
        <w:overflowPunct/>
        <w:topLinePunct w:val="0"/>
        <w:autoSpaceDE w:val="0"/>
        <w:autoSpaceDN w:val="0"/>
        <w:bidi w:val="0"/>
        <w:adjustRightInd w:val="0"/>
        <w:spacing w:after="0" w:line="440" w:lineRule="exact"/>
        <w:ind w:left="567" w:hanging="567"/>
        <w:jc w:val="both"/>
        <w:rPr>
          <w:rFonts w:ascii="宋体" w:hAnsi="宋体" w:cs="宋体"/>
          <w:color w:val="auto"/>
          <w:sz w:val="24"/>
          <w:szCs w:val="24"/>
          <w:highlight w:val="none"/>
        </w:rPr>
      </w:pPr>
      <w:r>
        <w:rPr>
          <w:rFonts w:hint="eastAsia" w:ascii="宋体" w:hAnsi="宋体" w:cs="宋体"/>
          <w:color w:val="auto"/>
          <w:sz w:val="24"/>
          <w:szCs w:val="24"/>
          <w:highlight w:val="none"/>
        </w:rPr>
        <w:t>供应商应当按照采购文件的变动情况和评审小组的要求，在</w:t>
      </w:r>
      <w:r>
        <w:rPr>
          <w:rFonts w:ascii="宋体" w:hAnsi="宋体" w:cs="宋体"/>
          <w:color w:val="auto"/>
          <w:sz w:val="24"/>
          <w:szCs w:val="24"/>
          <w:highlight w:val="none"/>
        </w:rPr>
        <w:t>规定时间内</w:t>
      </w:r>
      <w:r>
        <w:rPr>
          <w:rFonts w:hint="eastAsia" w:ascii="宋体" w:hAnsi="宋体" w:cs="宋体"/>
          <w:color w:val="auto"/>
          <w:sz w:val="24"/>
          <w:szCs w:val="24"/>
          <w:highlight w:val="none"/>
        </w:rPr>
        <w:t>重新提交响应文件，并由其法定代表人或授权代表（签名）或者加盖公章。逾时不交的，视同放弃磋商。</w:t>
      </w:r>
    </w:p>
    <w:p w14:paraId="684D1B1F">
      <w:pPr>
        <w:pageBreakBefore w:val="0"/>
        <w:widowControl w:val="0"/>
        <w:numPr>
          <w:ilvl w:val="1"/>
          <w:numId w:val="44"/>
        </w:numPr>
        <w:tabs>
          <w:tab w:val="left" w:pos="540"/>
        </w:tabs>
        <w:kinsoku/>
        <w:wordWrap/>
        <w:overflowPunct/>
        <w:topLinePunct w:val="0"/>
        <w:autoSpaceDE w:val="0"/>
        <w:autoSpaceDN w:val="0"/>
        <w:bidi w:val="0"/>
        <w:adjustRightInd w:val="0"/>
        <w:spacing w:after="0" w:line="440" w:lineRule="exact"/>
        <w:ind w:left="483" w:hanging="552" w:hangingChars="230"/>
        <w:jc w:val="both"/>
        <w:rPr>
          <w:rFonts w:ascii="宋体" w:hAnsi="宋体" w:cs="宋体"/>
          <w:color w:val="auto"/>
          <w:sz w:val="24"/>
          <w:szCs w:val="24"/>
          <w:highlight w:val="none"/>
        </w:rPr>
      </w:pPr>
      <w:r>
        <w:rPr>
          <w:rFonts w:hint="eastAsia" w:ascii="宋体" w:hAnsi="宋体" w:cs="宋体"/>
          <w:color w:val="auto"/>
          <w:sz w:val="24"/>
          <w:szCs w:val="24"/>
          <w:highlight w:val="none"/>
        </w:rPr>
        <w:t>最后报价</w:t>
      </w:r>
    </w:p>
    <w:p w14:paraId="7116645A">
      <w:pPr>
        <w:pageBreakBefore w:val="0"/>
        <w:widowControl w:val="0"/>
        <w:numPr>
          <w:ilvl w:val="1"/>
          <w:numId w:val="45"/>
        </w:numPr>
        <w:tabs>
          <w:tab w:val="left" w:pos="540"/>
          <w:tab w:val="left" w:pos="709"/>
        </w:tabs>
        <w:kinsoku/>
        <w:wordWrap/>
        <w:overflowPunct/>
        <w:topLinePunct w:val="0"/>
        <w:autoSpaceDE w:val="0"/>
        <w:autoSpaceDN w:val="0"/>
        <w:bidi w:val="0"/>
        <w:adjustRightInd w:val="0"/>
        <w:spacing w:after="0" w:line="440" w:lineRule="exact"/>
        <w:ind w:left="709" w:hanging="425"/>
        <w:jc w:val="both"/>
        <w:rPr>
          <w:rFonts w:ascii="宋体" w:hAnsi="宋体" w:cs="宋体"/>
          <w:color w:val="auto"/>
          <w:sz w:val="24"/>
          <w:szCs w:val="24"/>
          <w:highlight w:val="none"/>
        </w:rPr>
      </w:pPr>
      <w:r>
        <w:rPr>
          <w:rFonts w:hint="eastAsia" w:ascii="宋体" w:hAnsi="宋体" w:cs="宋体"/>
          <w:color w:val="auto"/>
          <w:sz w:val="24"/>
          <w:szCs w:val="24"/>
          <w:highlight w:val="none"/>
        </w:rPr>
        <w:t>磋商文件能够详细列明采购标的的技术、服务要求的，磋商结束后，评审小组应当要求所有实质性响应的供应商在规定时间内提交最后报价，提交最后报价的供应商不得少于3家。</w:t>
      </w:r>
    </w:p>
    <w:p w14:paraId="0314C6B6">
      <w:pPr>
        <w:pageBreakBefore w:val="0"/>
        <w:widowControl w:val="0"/>
        <w:numPr>
          <w:ilvl w:val="1"/>
          <w:numId w:val="45"/>
        </w:numPr>
        <w:tabs>
          <w:tab w:val="left" w:pos="540"/>
          <w:tab w:val="left" w:pos="709"/>
        </w:tabs>
        <w:kinsoku/>
        <w:wordWrap/>
        <w:overflowPunct/>
        <w:topLinePunct w:val="0"/>
        <w:autoSpaceDE w:val="0"/>
        <w:autoSpaceDN w:val="0"/>
        <w:bidi w:val="0"/>
        <w:adjustRightInd w:val="0"/>
        <w:spacing w:after="0" w:line="440" w:lineRule="exact"/>
        <w:ind w:left="709" w:hanging="425"/>
        <w:jc w:val="both"/>
        <w:rPr>
          <w:rFonts w:ascii="宋体" w:hAnsi="宋体" w:cs="宋体"/>
          <w:color w:val="auto"/>
          <w:sz w:val="24"/>
          <w:szCs w:val="24"/>
          <w:highlight w:val="none"/>
        </w:rPr>
      </w:pPr>
      <w:r>
        <w:rPr>
          <w:rFonts w:hint="eastAsia" w:ascii="宋体" w:hAnsi="宋体" w:cs="宋体"/>
          <w:color w:val="auto"/>
          <w:sz w:val="24"/>
          <w:szCs w:val="24"/>
          <w:highlight w:val="none"/>
        </w:rPr>
        <w:t>磋商文件不能详细列明采购标的的技术、服务要求，需经磋商由供应商提供最终设计方案或解决方案的，磋商结束后，评审小组应当按照少数服从多数的原则投票推荐3家以上供应商的设计方案或者解决方案，并要求其在规定时间内提交最后报价。</w:t>
      </w:r>
    </w:p>
    <w:p w14:paraId="4F17EAE4">
      <w:pPr>
        <w:pageBreakBefore w:val="0"/>
        <w:widowControl w:val="0"/>
        <w:numPr>
          <w:ilvl w:val="1"/>
          <w:numId w:val="45"/>
        </w:numPr>
        <w:tabs>
          <w:tab w:val="left" w:pos="540"/>
          <w:tab w:val="left" w:pos="709"/>
        </w:tabs>
        <w:kinsoku/>
        <w:wordWrap/>
        <w:overflowPunct/>
        <w:topLinePunct w:val="0"/>
        <w:autoSpaceDE w:val="0"/>
        <w:autoSpaceDN w:val="0"/>
        <w:bidi w:val="0"/>
        <w:adjustRightInd w:val="0"/>
        <w:spacing w:after="0" w:line="440" w:lineRule="exact"/>
        <w:ind w:left="709" w:hanging="425"/>
        <w:jc w:val="both"/>
        <w:rPr>
          <w:rFonts w:ascii="宋体" w:hAnsi="宋体" w:cs="宋体"/>
          <w:color w:val="auto"/>
          <w:sz w:val="24"/>
          <w:szCs w:val="24"/>
          <w:highlight w:val="none"/>
        </w:rPr>
      </w:pPr>
      <w:r>
        <w:rPr>
          <w:rFonts w:hint="eastAsia" w:ascii="宋体" w:hAnsi="宋体" w:cs="宋体"/>
          <w:b/>
          <w:color w:val="auto"/>
          <w:sz w:val="24"/>
          <w:szCs w:val="24"/>
          <w:highlight w:val="none"/>
        </w:rPr>
        <w:t>采用竞争性磋商采购方式采购的政府购买服务项目（含政府和社会资本合作项目），在采购过程中符合要求的供应商（社会资本）只有2家的，竞争性磋商采购活动可以继续进行</w:t>
      </w:r>
      <w:r>
        <w:rPr>
          <w:rFonts w:hint="eastAsia" w:ascii="宋体" w:hAnsi="宋体" w:cs="宋体"/>
          <w:color w:val="auto"/>
          <w:sz w:val="24"/>
          <w:szCs w:val="24"/>
          <w:highlight w:val="none"/>
        </w:rPr>
        <w:t>。采购过程中符合要求的供应商（社会资本）只有1家的，采购人（项目实施机构）或者采购代理机构应当终止竞争性磋商采购活动，发布项目终止公告并说明原因，重新开展采购活动。</w:t>
      </w:r>
    </w:p>
    <w:p w14:paraId="639AFE33">
      <w:pPr>
        <w:pageBreakBefore w:val="0"/>
        <w:widowControl w:val="0"/>
        <w:numPr>
          <w:ilvl w:val="1"/>
          <w:numId w:val="45"/>
        </w:numPr>
        <w:tabs>
          <w:tab w:val="left" w:pos="540"/>
          <w:tab w:val="left" w:pos="709"/>
        </w:tabs>
        <w:kinsoku/>
        <w:wordWrap/>
        <w:overflowPunct/>
        <w:topLinePunct w:val="0"/>
        <w:autoSpaceDE w:val="0"/>
        <w:autoSpaceDN w:val="0"/>
        <w:bidi w:val="0"/>
        <w:adjustRightInd w:val="0"/>
        <w:spacing w:after="0" w:line="440" w:lineRule="exact"/>
        <w:ind w:left="709" w:hanging="425"/>
        <w:jc w:val="both"/>
        <w:rPr>
          <w:rFonts w:ascii="宋体" w:hAnsi="宋体" w:cs="宋体"/>
          <w:color w:val="auto"/>
          <w:sz w:val="24"/>
          <w:szCs w:val="24"/>
          <w:highlight w:val="none"/>
        </w:rPr>
      </w:pPr>
      <w:r>
        <w:rPr>
          <w:rFonts w:hint="eastAsia" w:ascii="宋体" w:hAnsi="宋体" w:cs="宋体"/>
          <w:color w:val="auto"/>
          <w:sz w:val="24"/>
          <w:szCs w:val="24"/>
          <w:highlight w:val="none"/>
        </w:rPr>
        <w:t>最后报价是供应商响应文件的有效组成部分。供应商的报价均超过了采购预算或报价未超过采购预算的供应商不足三家的（市场竞争不充分的科研项目，以及需要扶持的科技成果转化项目，</w:t>
      </w:r>
      <w:r>
        <w:rPr>
          <w:rFonts w:ascii="宋体" w:hAnsi="宋体" w:cs="宋体"/>
          <w:color w:val="auto"/>
          <w:sz w:val="24"/>
          <w:szCs w:val="24"/>
          <w:highlight w:val="none"/>
        </w:rPr>
        <w:t>以及前述</w:t>
      </w:r>
      <w:r>
        <w:rPr>
          <w:rFonts w:hint="eastAsia" w:ascii="宋体" w:hAnsi="宋体" w:cs="宋体"/>
          <w:color w:val="auto"/>
          <w:sz w:val="24"/>
          <w:szCs w:val="24"/>
          <w:highlight w:val="none"/>
        </w:rPr>
        <w:t>29.6条第</w:t>
      </w:r>
      <w:r>
        <w:rPr>
          <w:rFonts w:ascii="宋体" w:hAnsi="宋体" w:cs="宋体"/>
          <w:color w:val="auto"/>
          <w:sz w:val="24"/>
          <w:szCs w:val="24"/>
          <w:highlight w:val="none"/>
        </w:rPr>
        <w:t>3</w:t>
      </w:r>
      <w:r>
        <w:rPr>
          <w:rFonts w:hint="eastAsia" w:ascii="宋体" w:hAnsi="宋体" w:cs="宋体"/>
          <w:color w:val="auto"/>
          <w:sz w:val="24"/>
          <w:szCs w:val="24"/>
          <w:highlight w:val="none"/>
        </w:rPr>
        <w:t>款所述情形除外），磋商活动终止。</w:t>
      </w:r>
    </w:p>
    <w:p w14:paraId="4C16E569">
      <w:pPr>
        <w:pageBreakBefore w:val="0"/>
        <w:widowControl w:val="0"/>
        <w:numPr>
          <w:ilvl w:val="1"/>
          <w:numId w:val="45"/>
        </w:numPr>
        <w:tabs>
          <w:tab w:val="left" w:pos="540"/>
          <w:tab w:val="left" w:pos="709"/>
        </w:tabs>
        <w:kinsoku/>
        <w:wordWrap/>
        <w:overflowPunct/>
        <w:topLinePunct w:val="0"/>
        <w:autoSpaceDE w:val="0"/>
        <w:autoSpaceDN w:val="0"/>
        <w:bidi w:val="0"/>
        <w:adjustRightInd w:val="0"/>
        <w:spacing w:after="0" w:line="440" w:lineRule="exact"/>
        <w:ind w:left="709" w:hanging="425"/>
        <w:jc w:val="both"/>
        <w:rPr>
          <w:rFonts w:ascii="宋体" w:hAnsi="宋体" w:cs="宋体"/>
          <w:color w:val="auto"/>
          <w:sz w:val="24"/>
          <w:szCs w:val="24"/>
          <w:highlight w:val="none"/>
        </w:rPr>
      </w:pPr>
      <w:r>
        <w:rPr>
          <w:rFonts w:hint="eastAsia" w:ascii="宋体" w:hAnsi="宋体" w:cs="宋体"/>
          <w:color w:val="auto"/>
          <w:sz w:val="24"/>
          <w:szCs w:val="24"/>
          <w:highlight w:val="none"/>
        </w:rPr>
        <w:t>除非采购需求发生实质性改变，供应商最终报价不得高于开启时的首次报价，否则按无效响应处理。</w:t>
      </w:r>
    </w:p>
    <w:p w14:paraId="256BC2CA">
      <w:pPr>
        <w:pageBreakBefore w:val="0"/>
        <w:widowControl w:val="0"/>
        <w:numPr>
          <w:ilvl w:val="1"/>
          <w:numId w:val="45"/>
        </w:numPr>
        <w:tabs>
          <w:tab w:val="left" w:pos="540"/>
          <w:tab w:val="left" w:pos="709"/>
        </w:tabs>
        <w:kinsoku/>
        <w:wordWrap/>
        <w:overflowPunct/>
        <w:topLinePunct w:val="0"/>
        <w:autoSpaceDE w:val="0"/>
        <w:autoSpaceDN w:val="0"/>
        <w:bidi w:val="0"/>
        <w:adjustRightInd w:val="0"/>
        <w:spacing w:after="0" w:line="440" w:lineRule="exact"/>
        <w:ind w:left="709" w:hanging="425"/>
        <w:jc w:val="both"/>
        <w:rPr>
          <w:rFonts w:ascii="宋体" w:hAnsi="宋体" w:cs="宋体"/>
          <w:color w:val="auto"/>
          <w:sz w:val="24"/>
          <w:szCs w:val="24"/>
          <w:highlight w:val="none"/>
        </w:rPr>
      </w:pPr>
      <w:r>
        <w:rPr>
          <w:rFonts w:hint="eastAsia" w:ascii="宋体" w:hAnsi="宋体" w:cs="宋体"/>
          <w:color w:val="auto"/>
          <w:sz w:val="24"/>
          <w:szCs w:val="24"/>
          <w:highlight w:val="none"/>
        </w:rPr>
        <w:t>已提交响应文件的供应商，在提交最后报价之前，可以根据磋商情况退出磋商。采购人、采购代理机构应当退还退出磋商的供应商的磋商保证金。</w:t>
      </w:r>
    </w:p>
    <w:p w14:paraId="321C8A76">
      <w:pPr>
        <w:pageBreakBefore w:val="0"/>
        <w:widowControl w:val="0"/>
        <w:numPr>
          <w:ilvl w:val="1"/>
          <w:numId w:val="44"/>
        </w:numPr>
        <w:tabs>
          <w:tab w:val="left" w:pos="540"/>
        </w:tabs>
        <w:kinsoku/>
        <w:wordWrap/>
        <w:overflowPunct/>
        <w:topLinePunct w:val="0"/>
        <w:autoSpaceDE w:val="0"/>
        <w:autoSpaceDN w:val="0"/>
        <w:bidi w:val="0"/>
        <w:adjustRightInd w:val="0"/>
        <w:spacing w:after="0" w:line="440" w:lineRule="exact"/>
        <w:ind w:left="483" w:hanging="552" w:hangingChars="230"/>
        <w:jc w:val="both"/>
        <w:rPr>
          <w:rFonts w:ascii="宋体" w:hAnsi="宋体" w:cs="宋体"/>
          <w:color w:val="auto"/>
          <w:sz w:val="24"/>
          <w:szCs w:val="24"/>
          <w:highlight w:val="none"/>
        </w:rPr>
      </w:pPr>
      <w:r>
        <w:rPr>
          <w:rFonts w:hint="eastAsia" w:ascii="宋体" w:hAnsi="宋体" w:cs="宋体"/>
          <w:color w:val="auto"/>
          <w:sz w:val="24"/>
          <w:szCs w:val="24"/>
          <w:highlight w:val="none"/>
        </w:rPr>
        <w:t>评审</w:t>
      </w:r>
    </w:p>
    <w:p w14:paraId="0BF8AADC">
      <w:pPr>
        <w:pageBreakBefore w:val="0"/>
        <w:widowControl w:val="0"/>
        <w:numPr>
          <w:ilvl w:val="1"/>
          <w:numId w:val="46"/>
        </w:numPr>
        <w:tabs>
          <w:tab w:val="left" w:pos="540"/>
          <w:tab w:val="left" w:pos="709"/>
        </w:tabs>
        <w:kinsoku/>
        <w:wordWrap/>
        <w:overflowPunct/>
        <w:topLinePunct w:val="0"/>
        <w:autoSpaceDE w:val="0"/>
        <w:autoSpaceDN w:val="0"/>
        <w:bidi w:val="0"/>
        <w:adjustRightInd w:val="0"/>
        <w:spacing w:after="0" w:line="440" w:lineRule="exact"/>
        <w:ind w:left="709" w:hanging="425"/>
        <w:jc w:val="both"/>
        <w:rPr>
          <w:rFonts w:ascii="宋体" w:hAnsi="宋体" w:cs="宋体"/>
          <w:color w:val="auto"/>
          <w:sz w:val="24"/>
          <w:szCs w:val="24"/>
          <w:highlight w:val="none"/>
        </w:rPr>
      </w:pPr>
      <w:r>
        <w:rPr>
          <w:rFonts w:hint="eastAsia" w:ascii="宋体" w:hAnsi="宋体" w:cs="宋体"/>
          <w:snapToGrid w:val="0"/>
          <w:color w:val="auto"/>
          <w:sz w:val="24"/>
          <w:szCs w:val="24"/>
          <w:highlight w:val="none"/>
          <w:lang w:val="zh-CN"/>
        </w:rPr>
        <w:t>评审小组采用综合评分法对提交最后报</w:t>
      </w:r>
      <w:r>
        <w:rPr>
          <w:rFonts w:hint="eastAsia" w:ascii="宋体" w:hAnsi="宋体" w:cs="宋体"/>
          <w:color w:val="auto"/>
          <w:sz w:val="24"/>
          <w:szCs w:val="24"/>
          <w:highlight w:val="none"/>
        </w:rPr>
        <w:t>价的供应商的响应文件和最后报价进行综合评分。</w:t>
      </w:r>
    </w:p>
    <w:p w14:paraId="5DBF732A">
      <w:pPr>
        <w:pageBreakBefore w:val="0"/>
        <w:widowControl w:val="0"/>
        <w:numPr>
          <w:ilvl w:val="1"/>
          <w:numId w:val="46"/>
        </w:numPr>
        <w:tabs>
          <w:tab w:val="left" w:pos="540"/>
          <w:tab w:val="left" w:pos="709"/>
        </w:tabs>
        <w:kinsoku/>
        <w:wordWrap/>
        <w:overflowPunct/>
        <w:topLinePunct w:val="0"/>
        <w:autoSpaceDE w:val="0"/>
        <w:autoSpaceDN w:val="0"/>
        <w:bidi w:val="0"/>
        <w:adjustRightInd w:val="0"/>
        <w:spacing w:after="0" w:line="440" w:lineRule="exact"/>
        <w:ind w:left="709" w:hanging="425"/>
        <w:jc w:val="both"/>
        <w:rPr>
          <w:rFonts w:ascii="宋体" w:hAnsi="宋体" w:cs="宋体"/>
          <w:color w:val="auto"/>
          <w:sz w:val="24"/>
          <w:szCs w:val="24"/>
          <w:highlight w:val="none"/>
        </w:rPr>
      </w:pPr>
      <w:r>
        <w:rPr>
          <w:rFonts w:hint="eastAsia" w:ascii="宋体" w:hAnsi="宋体" w:cs="宋体"/>
          <w:color w:val="auto"/>
          <w:sz w:val="24"/>
          <w:szCs w:val="24"/>
          <w:highlight w:val="none"/>
        </w:rPr>
        <w:t>评审小组成员应当按照客观、公正、审慎的原则，根据采购文件第四章规定的评审办法及评</w:t>
      </w:r>
      <w:r>
        <w:rPr>
          <w:rFonts w:hint="eastAsia" w:ascii="宋体" w:hAnsi="宋体" w:cs="宋体"/>
          <w:snapToGrid w:val="0"/>
          <w:color w:val="auto"/>
          <w:sz w:val="24"/>
          <w:szCs w:val="24"/>
          <w:highlight w:val="none"/>
          <w:lang w:val="zh-CN"/>
        </w:rPr>
        <w:t>审标准进行独立评审。</w:t>
      </w:r>
    </w:p>
    <w:p w14:paraId="14B209C5">
      <w:pPr>
        <w:pageBreakBefore w:val="0"/>
        <w:widowControl w:val="0"/>
        <w:numPr>
          <w:ilvl w:val="1"/>
          <w:numId w:val="46"/>
        </w:numPr>
        <w:tabs>
          <w:tab w:val="left" w:pos="540"/>
          <w:tab w:val="left" w:pos="709"/>
        </w:tabs>
        <w:kinsoku/>
        <w:wordWrap/>
        <w:overflowPunct/>
        <w:topLinePunct w:val="0"/>
        <w:autoSpaceDE w:val="0"/>
        <w:autoSpaceDN w:val="0"/>
        <w:bidi w:val="0"/>
        <w:adjustRightInd w:val="0"/>
        <w:spacing w:after="0" w:line="440" w:lineRule="exact"/>
        <w:ind w:left="709" w:hanging="425"/>
        <w:jc w:val="both"/>
        <w:rPr>
          <w:rFonts w:ascii="宋体" w:hAnsi="宋体" w:cs="宋体"/>
          <w:color w:val="auto"/>
          <w:sz w:val="24"/>
          <w:szCs w:val="24"/>
          <w:highlight w:val="none"/>
        </w:rPr>
      </w:pPr>
      <w:r>
        <w:rPr>
          <w:rFonts w:hint="eastAsia" w:ascii="宋体" w:hAnsi="宋体" w:cs="宋体"/>
          <w:snapToGrid w:val="0"/>
          <w:color w:val="auto"/>
          <w:sz w:val="24"/>
          <w:szCs w:val="24"/>
          <w:highlight w:val="none"/>
          <w:lang w:val="zh-CN"/>
        </w:rPr>
        <w:t>未实质性响应采购文件的响应文件按无效响应处理，评审小组应当告知提交响应文件的供应商。</w:t>
      </w:r>
    </w:p>
    <w:p w14:paraId="0D2D998B">
      <w:pPr>
        <w:pageBreakBefore w:val="0"/>
        <w:widowControl w:val="0"/>
        <w:numPr>
          <w:ilvl w:val="1"/>
          <w:numId w:val="10"/>
        </w:numPr>
        <w:tabs>
          <w:tab w:val="left" w:pos="540"/>
          <w:tab w:val="left" w:pos="840"/>
          <w:tab w:val="left" w:pos="1080"/>
        </w:tabs>
        <w:kinsoku/>
        <w:wordWrap/>
        <w:overflowPunct/>
        <w:topLinePunct w:val="0"/>
        <w:bidi w:val="0"/>
        <w:adjustRightInd w:val="0"/>
        <w:spacing w:after="0" w:line="440" w:lineRule="exact"/>
        <w:ind w:left="540" w:hanging="540"/>
        <w:jc w:val="both"/>
        <w:outlineLvl w:val="1"/>
        <w:rPr>
          <w:rFonts w:ascii="宋体" w:hAnsi="宋体" w:cs="宋体"/>
          <w:b/>
          <w:color w:val="auto"/>
          <w:sz w:val="24"/>
          <w:szCs w:val="24"/>
          <w:highlight w:val="none"/>
        </w:rPr>
      </w:pPr>
      <w:r>
        <w:rPr>
          <w:rFonts w:hint="eastAsia" w:ascii="宋体" w:hAnsi="宋体" w:cs="宋体"/>
          <w:b/>
          <w:color w:val="auto"/>
          <w:sz w:val="24"/>
          <w:szCs w:val="24"/>
          <w:highlight w:val="none"/>
        </w:rPr>
        <w:t>推荐成交候选供应商</w:t>
      </w:r>
    </w:p>
    <w:p w14:paraId="29682E35">
      <w:pPr>
        <w:pageBreakBefore w:val="0"/>
        <w:widowControl w:val="0"/>
        <w:numPr>
          <w:ilvl w:val="0"/>
          <w:numId w:val="11"/>
        </w:numPr>
        <w:tabs>
          <w:tab w:val="left" w:pos="426"/>
          <w:tab w:val="left" w:pos="644"/>
          <w:tab w:val="left" w:pos="840"/>
        </w:tabs>
        <w:kinsoku/>
        <w:wordWrap/>
        <w:overflowPunct/>
        <w:topLinePunct w:val="0"/>
        <w:bidi w:val="0"/>
        <w:adjustRightInd w:val="0"/>
        <w:spacing w:after="0" w:line="440" w:lineRule="exact"/>
        <w:ind w:left="424" w:hanging="484" w:hangingChars="202"/>
        <w:jc w:val="both"/>
        <w:outlineLvl w:val="1"/>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评审小组根据综合评分情况</w:t>
      </w:r>
      <w:r>
        <w:rPr>
          <w:rFonts w:hint="eastAsia" w:ascii="宋体" w:hAnsi="宋体" w:cs="宋体"/>
          <w:bCs/>
          <w:color w:val="auto"/>
          <w:sz w:val="24"/>
          <w:szCs w:val="24"/>
          <w:highlight w:val="none"/>
        </w:rPr>
        <w:t>，按照评审得分由高到低顺序推荐3名以上成交候选供应商，并编写评审报告（符合“市场竞争不充分的科研项目，</w:t>
      </w:r>
      <w:r>
        <w:rPr>
          <w:rFonts w:hint="eastAsia" w:ascii="宋体" w:hAnsi="宋体" w:cs="宋体"/>
          <w:snapToGrid w:val="0"/>
          <w:color w:val="auto"/>
          <w:sz w:val="24"/>
          <w:szCs w:val="24"/>
          <w:highlight w:val="none"/>
          <w:lang w:val="zh-CN"/>
        </w:rPr>
        <w:t>以及需要扶持的科技成果转化项目</w:t>
      </w:r>
      <w:r>
        <w:rPr>
          <w:rFonts w:ascii="宋体" w:hAnsi="宋体" w:cs="宋体"/>
          <w:bCs/>
          <w:color w:val="auto"/>
          <w:sz w:val="24"/>
          <w:szCs w:val="24"/>
          <w:highlight w:val="none"/>
        </w:rPr>
        <w:t>”</w:t>
      </w:r>
      <w:r>
        <w:rPr>
          <w:rFonts w:hint="eastAsia" w:ascii="宋体" w:hAnsi="宋体" w:cs="宋体"/>
          <w:bCs/>
          <w:color w:val="auto"/>
          <w:sz w:val="24"/>
          <w:szCs w:val="24"/>
          <w:highlight w:val="none"/>
        </w:rPr>
        <w:t>情形的，可以推荐2家成交候选供应商）。评审得分相同的，按照最后报价由低到高的顺序推荐。评审得分且最后报价相同的，按照技术指标优劣顺序推荐。</w:t>
      </w:r>
      <w:r>
        <w:rPr>
          <w:rFonts w:hint="eastAsia" w:ascii="宋体" w:hAnsi="宋体" w:cs="宋体"/>
          <w:snapToGrid w:val="0"/>
          <w:color w:val="auto"/>
          <w:sz w:val="24"/>
          <w:szCs w:val="24"/>
          <w:highlight w:val="none"/>
          <w:lang w:val="zh-CN"/>
        </w:rPr>
        <w:t>允许供应商同时参与多标段响应的，确定成交候选人的办法详见《供应商须知前附表》第11.</w:t>
      </w:r>
      <w:r>
        <w:rPr>
          <w:rFonts w:ascii="宋体" w:hAnsi="宋体" w:cs="宋体"/>
          <w:snapToGrid w:val="0"/>
          <w:color w:val="auto"/>
          <w:sz w:val="24"/>
          <w:szCs w:val="24"/>
          <w:highlight w:val="none"/>
          <w:lang w:val="zh-CN"/>
        </w:rPr>
        <w:t>6</w:t>
      </w:r>
      <w:r>
        <w:rPr>
          <w:rFonts w:hint="eastAsia" w:ascii="宋体" w:hAnsi="宋体" w:cs="宋体"/>
          <w:snapToGrid w:val="0"/>
          <w:color w:val="auto"/>
          <w:sz w:val="24"/>
          <w:szCs w:val="24"/>
          <w:highlight w:val="none"/>
          <w:lang w:val="zh-CN"/>
        </w:rPr>
        <w:t>条。</w:t>
      </w:r>
    </w:p>
    <w:p w14:paraId="1CC17063">
      <w:pPr>
        <w:pageBreakBefore w:val="0"/>
        <w:widowControl w:val="0"/>
        <w:numPr>
          <w:ilvl w:val="0"/>
          <w:numId w:val="11"/>
        </w:numPr>
        <w:tabs>
          <w:tab w:val="left" w:pos="426"/>
          <w:tab w:val="left" w:pos="644"/>
          <w:tab w:val="left" w:pos="840"/>
        </w:tabs>
        <w:kinsoku/>
        <w:wordWrap/>
        <w:overflowPunct/>
        <w:topLinePunct w:val="0"/>
        <w:bidi w:val="0"/>
        <w:adjustRightInd w:val="0"/>
        <w:spacing w:after="0" w:line="440" w:lineRule="exact"/>
        <w:ind w:left="424" w:hanging="484" w:hangingChars="202"/>
        <w:jc w:val="both"/>
        <w:outlineLvl w:val="1"/>
        <w:rPr>
          <w:rFonts w:ascii="宋体" w:hAnsi="宋体" w:cs="宋体"/>
          <w:snapToGrid w:val="0"/>
          <w:color w:val="auto"/>
          <w:sz w:val="24"/>
          <w:szCs w:val="24"/>
          <w:highlight w:val="none"/>
          <w:lang w:val="zh-CN"/>
        </w:rPr>
      </w:pPr>
      <w:r>
        <w:rPr>
          <w:rFonts w:hint="eastAsia" w:ascii="宋体" w:hAnsi="宋体" w:cs="宋体"/>
          <w:bCs/>
          <w:color w:val="auto"/>
          <w:sz w:val="24"/>
          <w:szCs w:val="24"/>
          <w:highlight w:val="none"/>
        </w:rPr>
        <w:t>除资格性检查认定错误</w:t>
      </w:r>
      <w:r>
        <w:rPr>
          <w:rFonts w:hint="eastAsia" w:ascii="宋体" w:hAnsi="宋体" w:cs="宋体"/>
          <w:snapToGrid w:val="0"/>
          <w:color w:val="auto"/>
          <w:sz w:val="24"/>
          <w:szCs w:val="24"/>
          <w:highlight w:val="none"/>
          <w:lang w:val="zh-CN"/>
        </w:rPr>
        <w:t>、分值汇总计算错误、分项评分超出评分标准范围、客观分评分不一致、经评审小组一致认定评分畸高、畸低的情形外，采购人或者采购代理机构不得以任何理由组织重新评审。采购人、采购代理机构发现评审小组未按照采购文件规定的评审标准进行评审的，应当重新开展采购活动，并同时书面报告本级财政部门。</w:t>
      </w:r>
    </w:p>
    <w:p w14:paraId="4401443B">
      <w:pPr>
        <w:pageBreakBefore w:val="0"/>
        <w:widowControl w:val="0"/>
        <w:numPr>
          <w:ilvl w:val="0"/>
          <w:numId w:val="11"/>
        </w:numPr>
        <w:tabs>
          <w:tab w:val="left" w:pos="426"/>
          <w:tab w:val="left" w:pos="644"/>
          <w:tab w:val="left" w:pos="840"/>
        </w:tabs>
        <w:kinsoku/>
        <w:wordWrap/>
        <w:overflowPunct/>
        <w:topLinePunct w:val="0"/>
        <w:bidi w:val="0"/>
        <w:adjustRightInd w:val="0"/>
        <w:spacing w:after="0" w:line="440" w:lineRule="exact"/>
        <w:ind w:left="424" w:hanging="484" w:hangingChars="202"/>
        <w:jc w:val="both"/>
        <w:outlineLvl w:val="1"/>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采购人或者采购代理机构不得通过对样品进行检测、对供应商进行考察等方式改变评审结</w:t>
      </w:r>
      <w:r>
        <w:rPr>
          <w:rFonts w:hint="eastAsia" w:ascii="宋体" w:hAnsi="宋体" w:cs="宋体"/>
          <w:color w:val="auto"/>
          <w:sz w:val="24"/>
          <w:szCs w:val="24"/>
          <w:highlight w:val="none"/>
        </w:rPr>
        <w:t>果。</w:t>
      </w:r>
    </w:p>
    <w:p w14:paraId="7FA36319">
      <w:pPr>
        <w:pageBreakBefore w:val="0"/>
        <w:widowControl w:val="0"/>
        <w:numPr>
          <w:ilvl w:val="1"/>
          <w:numId w:val="10"/>
        </w:numPr>
        <w:tabs>
          <w:tab w:val="left" w:pos="540"/>
          <w:tab w:val="left" w:pos="840"/>
          <w:tab w:val="left" w:pos="1080"/>
        </w:tabs>
        <w:kinsoku/>
        <w:wordWrap/>
        <w:overflowPunct/>
        <w:topLinePunct w:val="0"/>
        <w:bidi w:val="0"/>
        <w:adjustRightInd w:val="0"/>
        <w:spacing w:after="0" w:line="440" w:lineRule="exact"/>
        <w:ind w:left="540" w:hanging="540"/>
        <w:jc w:val="both"/>
        <w:outlineLvl w:val="1"/>
        <w:rPr>
          <w:rFonts w:ascii="宋体" w:hAnsi="宋体" w:cs="宋体"/>
          <w:b/>
          <w:color w:val="auto"/>
          <w:sz w:val="24"/>
          <w:szCs w:val="24"/>
          <w:highlight w:val="none"/>
        </w:rPr>
      </w:pPr>
      <w:r>
        <w:rPr>
          <w:rFonts w:hint="eastAsia" w:ascii="宋体" w:hAnsi="宋体" w:cs="宋体"/>
          <w:b/>
          <w:color w:val="auto"/>
          <w:sz w:val="24"/>
          <w:szCs w:val="24"/>
          <w:highlight w:val="none"/>
        </w:rPr>
        <w:t>确定成交供应商</w:t>
      </w:r>
    </w:p>
    <w:p w14:paraId="3A1DA3DA">
      <w:pPr>
        <w:pageBreakBefore w:val="0"/>
        <w:widowControl w:val="0"/>
        <w:numPr>
          <w:ilvl w:val="0"/>
          <w:numId w:val="11"/>
        </w:numPr>
        <w:tabs>
          <w:tab w:val="left" w:pos="426"/>
          <w:tab w:val="left" w:pos="644"/>
          <w:tab w:val="left" w:pos="840"/>
        </w:tabs>
        <w:kinsoku/>
        <w:wordWrap/>
        <w:overflowPunct/>
        <w:topLinePunct w:val="0"/>
        <w:bidi w:val="0"/>
        <w:adjustRightInd w:val="0"/>
        <w:spacing w:after="0" w:line="440" w:lineRule="exact"/>
        <w:ind w:left="424" w:hanging="484" w:hangingChars="202"/>
        <w:jc w:val="both"/>
        <w:outlineLvl w:val="1"/>
        <w:rPr>
          <w:rFonts w:ascii="宋体" w:hAnsi="宋体" w:cs="宋体"/>
          <w:snapToGrid w:val="0"/>
          <w:color w:val="auto"/>
          <w:sz w:val="24"/>
          <w:szCs w:val="24"/>
          <w:highlight w:val="none"/>
          <w:lang w:val="zh-CN"/>
        </w:rPr>
      </w:pPr>
      <w:r>
        <w:rPr>
          <w:rFonts w:hint="eastAsia" w:ascii="宋体" w:hAnsi="宋体" w:cs="宋体"/>
          <w:bCs/>
          <w:color w:val="auto"/>
          <w:sz w:val="24"/>
          <w:szCs w:val="24"/>
          <w:highlight w:val="none"/>
        </w:rPr>
        <w:t>采购代理机构应当在评审结束后</w:t>
      </w:r>
      <w:r>
        <w:rPr>
          <w:rFonts w:hint="eastAsia" w:ascii="宋体" w:hAnsi="宋体" w:cs="宋体"/>
          <w:snapToGrid w:val="0"/>
          <w:color w:val="auto"/>
          <w:sz w:val="24"/>
          <w:szCs w:val="24"/>
          <w:highlight w:val="none"/>
          <w:lang w:val="zh-CN"/>
        </w:rPr>
        <w:t>2个工作日内将评审报告送采购人确认。</w:t>
      </w:r>
    </w:p>
    <w:p w14:paraId="1E23C015">
      <w:pPr>
        <w:pageBreakBefore w:val="0"/>
        <w:widowControl w:val="0"/>
        <w:numPr>
          <w:ilvl w:val="0"/>
          <w:numId w:val="11"/>
        </w:numPr>
        <w:tabs>
          <w:tab w:val="left" w:pos="426"/>
          <w:tab w:val="left" w:pos="644"/>
          <w:tab w:val="left" w:pos="840"/>
        </w:tabs>
        <w:kinsoku/>
        <w:wordWrap/>
        <w:overflowPunct/>
        <w:topLinePunct w:val="0"/>
        <w:bidi w:val="0"/>
        <w:adjustRightInd w:val="0"/>
        <w:spacing w:after="0" w:line="440" w:lineRule="exact"/>
        <w:ind w:left="424" w:hanging="484" w:hangingChars="202"/>
        <w:jc w:val="both"/>
        <w:outlineLvl w:val="1"/>
        <w:rPr>
          <w:rFonts w:ascii="宋体" w:hAnsi="宋体" w:cs="宋体"/>
          <w:snapToGrid w:val="0"/>
          <w:color w:val="auto"/>
          <w:sz w:val="24"/>
          <w:szCs w:val="24"/>
          <w:highlight w:val="none"/>
          <w:lang w:val="zh-CN"/>
        </w:rPr>
      </w:pPr>
      <w:r>
        <w:rPr>
          <w:rFonts w:hint="eastAsia" w:ascii="宋体" w:hAnsi="宋体" w:cs="宋体"/>
          <w:bCs/>
          <w:color w:val="auto"/>
          <w:sz w:val="24"/>
          <w:szCs w:val="24"/>
          <w:highlight w:val="none"/>
        </w:rPr>
        <w:t>采购人应当在收到评审报告后</w:t>
      </w:r>
      <w:r>
        <w:rPr>
          <w:rFonts w:hint="eastAsia" w:ascii="宋体" w:hAnsi="宋体" w:cs="宋体"/>
          <w:snapToGrid w:val="0"/>
          <w:color w:val="auto"/>
          <w:sz w:val="24"/>
          <w:szCs w:val="24"/>
          <w:highlight w:val="none"/>
          <w:lang w:val="zh-CN"/>
        </w:rPr>
        <w:t>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供应商为成交供应商。</w:t>
      </w:r>
    </w:p>
    <w:p w14:paraId="5C8CAFF5">
      <w:pPr>
        <w:pageBreakBefore w:val="0"/>
        <w:widowControl w:val="0"/>
        <w:numPr>
          <w:ilvl w:val="0"/>
          <w:numId w:val="11"/>
        </w:numPr>
        <w:tabs>
          <w:tab w:val="left" w:pos="426"/>
          <w:tab w:val="left" w:pos="644"/>
          <w:tab w:val="left" w:pos="840"/>
        </w:tabs>
        <w:kinsoku/>
        <w:wordWrap/>
        <w:overflowPunct/>
        <w:topLinePunct w:val="0"/>
        <w:bidi w:val="0"/>
        <w:adjustRightInd w:val="0"/>
        <w:spacing w:after="0" w:line="440" w:lineRule="exact"/>
        <w:ind w:left="424" w:hanging="484" w:hangingChars="202"/>
        <w:jc w:val="both"/>
        <w:outlineLvl w:val="1"/>
        <w:rPr>
          <w:rFonts w:ascii="宋体" w:hAnsi="宋体" w:cs="宋体"/>
          <w:snapToGrid w:val="0"/>
          <w:color w:val="auto"/>
          <w:sz w:val="24"/>
          <w:szCs w:val="24"/>
          <w:highlight w:val="none"/>
          <w:lang w:val="zh-CN"/>
        </w:rPr>
      </w:pPr>
      <w:r>
        <w:rPr>
          <w:rFonts w:hint="eastAsia" w:ascii="宋体" w:hAnsi="宋体" w:cs="宋体"/>
          <w:bCs/>
          <w:color w:val="auto"/>
          <w:sz w:val="24"/>
          <w:szCs w:val="24"/>
          <w:highlight w:val="none"/>
        </w:rPr>
        <w:t>采购代理机构在成交供应商确定后</w:t>
      </w:r>
      <w:r>
        <w:rPr>
          <w:rFonts w:hint="eastAsia" w:ascii="宋体" w:hAnsi="宋体" w:cs="宋体"/>
          <w:snapToGrid w:val="0"/>
          <w:color w:val="auto"/>
          <w:sz w:val="24"/>
          <w:szCs w:val="24"/>
          <w:highlight w:val="none"/>
          <w:lang w:val="zh-CN"/>
        </w:rPr>
        <w:t>2个工作日内，在第一章磋商公告指定的信息发布媒体上公告成交结果，同时向成交供应商发出成交通知书。公告期限为1个工作日。</w:t>
      </w:r>
    </w:p>
    <w:p w14:paraId="1C472B0A">
      <w:pPr>
        <w:pageBreakBefore w:val="0"/>
        <w:widowControl w:val="0"/>
        <w:numPr>
          <w:ilvl w:val="1"/>
          <w:numId w:val="10"/>
        </w:numPr>
        <w:tabs>
          <w:tab w:val="left" w:pos="540"/>
          <w:tab w:val="left" w:pos="840"/>
          <w:tab w:val="left" w:pos="1080"/>
        </w:tabs>
        <w:kinsoku/>
        <w:wordWrap/>
        <w:overflowPunct/>
        <w:topLinePunct w:val="0"/>
        <w:bidi w:val="0"/>
        <w:adjustRightInd w:val="0"/>
        <w:spacing w:after="0" w:line="440" w:lineRule="exact"/>
        <w:ind w:left="540" w:hanging="540"/>
        <w:jc w:val="both"/>
        <w:outlineLvl w:val="1"/>
        <w:rPr>
          <w:rFonts w:ascii="宋体" w:hAnsi="宋体" w:cs="宋体"/>
          <w:b/>
          <w:color w:val="auto"/>
          <w:sz w:val="24"/>
          <w:szCs w:val="24"/>
          <w:highlight w:val="none"/>
        </w:rPr>
      </w:pPr>
      <w:r>
        <w:rPr>
          <w:rFonts w:hint="eastAsia" w:ascii="宋体" w:hAnsi="宋体" w:cs="宋体"/>
          <w:b/>
          <w:color w:val="auto"/>
          <w:sz w:val="24"/>
          <w:szCs w:val="24"/>
          <w:highlight w:val="none"/>
        </w:rPr>
        <w:t>签订合同</w:t>
      </w:r>
    </w:p>
    <w:p w14:paraId="714ADAB9">
      <w:pPr>
        <w:pageBreakBefore w:val="0"/>
        <w:widowControl w:val="0"/>
        <w:numPr>
          <w:ilvl w:val="0"/>
          <w:numId w:val="11"/>
        </w:numPr>
        <w:tabs>
          <w:tab w:val="left" w:pos="426"/>
          <w:tab w:val="left" w:pos="644"/>
          <w:tab w:val="left" w:pos="840"/>
        </w:tabs>
        <w:kinsoku/>
        <w:wordWrap/>
        <w:overflowPunct/>
        <w:topLinePunct w:val="0"/>
        <w:bidi w:val="0"/>
        <w:adjustRightInd w:val="0"/>
        <w:spacing w:after="0" w:line="440" w:lineRule="exact"/>
        <w:ind w:left="424" w:hanging="484" w:hangingChars="202"/>
        <w:jc w:val="both"/>
        <w:outlineLvl w:val="1"/>
        <w:rPr>
          <w:rFonts w:ascii="宋体" w:hAnsi="宋体" w:cs="宋体"/>
          <w:bCs/>
          <w:color w:val="auto"/>
          <w:sz w:val="24"/>
          <w:szCs w:val="24"/>
          <w:highlight w:val="none"/>
        </w:rPr>
      </w:pPr>
      <w:r>
        <w:rPr>
          <w:rFonts w:hint="eastAsia" w:ascii="宋体" w:hAnsi="宋体" w:cs="宋体"/>
          <w:snapToGrid w:val="0"/>
          <w:color w:val="auto"/>
          <w:sz w:val="24"/>
          <w:szCs w:val="24"/>
          <w:highlight w:val="none"/>
          <w:lang w:val="zh-CN"/>
        </w:rPr>
        <w:t>采购文件对履约保证金有规定的，成交供应商应按规定缴纳履约保证金。有关履约保证金的规定详见《供应商须知前附表》。未按要求提交履约保证金的，视为放弃成</w:t>
      </w:r>
      <w:r>
        <w:rPr>
          <w:rFonts w:hint="eastAsia" w:ascii="宋体" w:hAnsi="宋体" w:cs="宋体"/>
          <w:bCs/>
          <w:color w:val="auto"/>
          <w:sz w:val="24"/>
          <w:szCs w:val="24"/>
          <w:highlight w:val="none"/>
        </w:rPr>
        <w:t>交，其磋商保证金不予退还，给采购人造成的损失超过磋商保证金数额的，成交供应商还应当对超过部分予以赔偿。</w:t>
      </w:r>
    </w:p>
    <w:p w14:paraId="5FB5DEF8">
      <w:pPr>
        <w:pageBreakBefore w:val="0"/>
        <w:widowControl w:val="0"/>
        <w:numPr>
          <w:ilvl w:val="0"/>
          <w:numId w:val="11"/>
        </w:numPr>
        <w:tabs>
          <w:tab w:val="left" w:pos="426"/>
          <w:tab w:val="left" w:pos="644"/>
          <w:tab w:val="left" w:pos="840"/>
        </w:tabs>
        <w:kinsoku/>
        <w:wordWrap/>
        <w:overflowPunct/>
        <w:topLinePunct w:val="0"/>
        <w:bidi w:val="0"/>
        <w:adjustRightInd w:val="0"/>
        <w:spacing w:after="0" w:line="440" w:lineRule="exact"/>
        <w:ind w:left="424" w:hanging="484" w:hangingChars="202"/>
        <w:jc w:val="both"/>
        <w:outlineLvl w:val="1"/>
        <w:rPr>
          <w:rFonts w:ascii="宋体" w:hAnsi="宋体" w:cs="宋体"/>
          <w:bCs/>
          <w:color w:val="auto"/>
          <w:sz w:val="24"/>
          <w:szCs w:val="24"/>
          <w:highlight w:val="none"/>
        </w:rPr>
      </w:pPr>
      <w:r>
        <w:rPr>
          <w:rFonts w:hint="eastAsia" w:ascii="宋体" w:hAnsi="宋体" w:cs="宋体"/>
          <w:bCs/>
          <w:color w:val="auto"/>
          <w:sz w:val="24"/>
          <w:szCs w:val="24"/>
          <w:highlight w:val="none"/>
        </w:rPr>
        <w:t>成交供应商在收到成交通知书后，应向采购人提供完整的纸质响应文件（如前期未要求提交纸质响应文件的），三十日内与采购人签订采购合同。</w:t>
      </w:r>
    </w:p>
    <w:p w14:paraId="5F37C25C">
      <w:pPr>
        <w:pageBreakBefore w:val="0"/>
        <w:widowControl w:val="0"/>
        <w:numPr>
          <w:ilvl w:val="0"/>
          <w:numId w:val="11"/>
        </w:numPr>
        <w:tabs>
          <w:tab w:val="left" w:pos="426"/>
          <w:tab w:val="left" w:pos="644"/>
          <w:tab w:val="left" w:pos="840"/>
        </w:tabs>
        <w:kinsoku/>
        <w:wordWrap/>
        <w:overflowPunct/>
        <w:topLinePunct w:val="0"/>
        <w:bidi w:val="0"/>
        <w:adjustRightInd w:val="0"/>
        <w:spacing w:after="0" w:line="440" w:lineRule="exact"/>
        <w:ind w:left="424" w:hanging="484" w:hangingChars="202"/>
        <w:jc w:val="both"/>
        <w:outlineLvl w:val="1"/>
        <w:rPr>
          <w:rFonts w:ascii="宋体" w:hAnsi="宋体" w:cs="宋体"/>
          <w:bCs/>
          <w:color w:val="auto"/>
          <w:sz w:val="24"/>
          <w:szCs w:val="24"/>
          <w:highlight w:val="none"/>
        </w:rPr>
      </w:pPr>
      <w:r>
        <w:rPr>
          <w:rFonts w:hint="eastAsia" w:ascii="宋体" w:hAnsi="宋体" w:cs="宋体"/>
          <w:bCs/>
          <w:color w:val="auto"/>
          <w:sz w:val="24"/>
          <w:szCs w:val="24"/>
          <w:highlight w:val="none"/>
        </w:rPr>
        <w:t>采购人不得向成交供应商提出超出采购文件以外的任何要求作为签订合同的条件，采购人与成交供应商应不得订立背离采购文件确定的采购标的、规格型号、采购金额、采购数量、技术和服务要求等实质性内容的协议。</w:t>
      </w:r>
    </w:p>
    <w:p w14:paraId="79281D55">
      <w:pPr>
        <w:pageBreakBefore w:val="0"/>
        <w:widowControl w:val="0"/>
        <w:numPr>
          <w:ilvl w:val="0"/>
          <w:numId w:val="11"/>
        </w:numPr>
        <w:tabs>
          <w:tab w:val="left" w:pos="426"/>
          <w:tab w:val="left" w:pos="644"/>
          <w:tab w:val="left" w:pos="840"/>
        </w:tabs>
        <w:kinsoku/>
        <w:wordWrap/>
        <w:overflowPunct/>
        <w:topLinePunct w:val="0"/>
        <w:bidi w:val="0"/>
        <w:adjustRightInd w:val="0"/>
        <w:spacing w:after="0" w:line="440" w:lineRule="exact"/>
        <w:ind w:left="424" w:hanging="484" w:hangingChars="202"/>
        <w:jc w:val="both"/>
        <w:outlineLvl w:val="1"/>
        <w:rPr>
          <w:rFonts w:ascii="宋体" w:hAnsi="宋体" w:cs="宋体"/>
          <w:bCs/>
          <w:color w:val="auto"/>
          <w:sz w:val="24"/>
          <w:szCs w:val="24"/>
          <w:highlight w:val="none"/>
        </w:rPr>
      </w:pPr>
      <w:r>
        <w:rPr>
          <w:rFonts w:hint="eastAsia" w:ascii="宋体" w:hAnsi="宋体" w:cs="宋体"/>
          <w:bCs/>
          <w:color w:val="auto"/>
          <w:sz w:val="24"/>
          <w:szCs w:val="24"/>
          <w:highlight w:val="none"/>
        </w:rPr>
        <w:t>除不可抗力等因素外，成交通知书发出后，采购人改变成交结果，或者成交供应商拒绝签订采购合同的，应当承担相应的法律责任。</w:t>
      </w:r>
    </w:p>
    <w:p w14:paraId="12FA44E3">
      <w:pPr>
        <w:pageBreakBefore w:val="0"/>
        <w:widowControl w:val="0"/>
        <w:numPr>
          <w:ilvl w:val="0"/>
          <w:numId w:val="11"/>
        </w:numPr>
        <w:tabs>
          <w:tab w:val="left" w:pos="426"/>
          <w:tab w:val="left" w:pos="644"/>
          <w:tab w:val="left" w:pos="840"/>
        </w:tabs>
        <w:kinsoku/>
        <w:wordWrap/>
        <w:overflowPunct/>
        <w:topLinePunct w:val="0"/>
        <w:bidi w:val="0"/>
        <w:adjustRightInd w:val="0"/>
        <w:spacing w:after="0" w:line="440" w:lineRule="exact"/>
        <w:ind w:left="424" w:hanging="484" w:hangingChars="202"/>
        <w:jc w:val="both"/>
        <w:outlineLvl w:val="1"/>
        <w:rPr>
          <w:rFonts w:ascii="宋体" w:hAnsi="宋体" w:cs="宋体"/>
          <w:snapToGrid w:val="0"/>
          <w:color w:val="auto"/>
          <w:sz w:val="24"/>
          <w:szCs w:val="24"/>
          <w:highlight w:val="none"/>
          <w:lang w:val="zh-CN"/>
        </w:rPr>
      </w:pPr>
      <w:r>
        <w:rPr>
          <w:rFonts w:hint="eastAsia" w:ascii="宋体" w:hAnsi="宋体" w:cs="宋体"/>
          <w:bCs/>
          <w:color w:val="auto"/>
          <w:sz w:val="24"/>
          <w:szCs w:val="24"/>
          <w:highlight w:val="none"/>
        </w:rPr>
        <w:t>成交供</w:t>
      </w:r>
      <w:r>
        <w:rPr>
          <w:rFonts w:hint="eastAsia" w:ascii="宋体" w:hAnsi="宋体" w:cs="宋体"/>
          <w:snapToGrid w:val="0"/>
          <w:color w:val="auto"/>
          <w:sz w:val="24"/>
          <w:szCs w:val="24"/>
          <w:highlight w:val="none"/>
          <w:lang w:val="zh-CN"/>
        </w:rPr>
        <w:t>应商拒绝签订采购合同的，采购人可以按照《政府采购竞争性磋商采购方式管理暂行办法》第三十三条规定的原则确定其他供应商作为成交供应商并签订采购合同，也可以重新开展采购活动。拒绝签订采购合同的成交供应商不得参加对该项目重新开展的采购活动。</w:t>
      </w:r>
    </w:p>
    <w:p w14:paraId="26316772">
      <w:pPr>
        <w:pageBreakBefore w:val="0"/>
        <w:widowControl w:val="0"/>
        <w:numPr>
          <w:ilvl w:val="0"/>
          <w:numId w:val="11"/>
        </w:numPr>
        <w:tabs>
          <w:tab w:val="left" w:pos="426"/>
          <w:tab w:val="left" w:pos="644"/>
          <w:tab w:val="left" w:pos="840"/>
        </w:tabs>
        <w:kinsoku/>
        <w:wordWrap/>
        <w:overflowPunct/>
        <w:topLinePunct w:val="0"/>
        <w:bidi w:val="0"/>
        <w:adjustRightInd w:val="0"/>
        <w:spacing w:after="0" w:line="440" w:lineRule="exact"/>
        <w:ind w:left="424" w:hanging="484" w:hangingChars="202"/>
        <w:jc w:val="both"/>
        <w:outlineLvl w:val="1"/>
        <w:rPr>
          <w:rFonts w:ascii="宋体" w:hAnsi="宋体" w:cs="宋体"/>
          <w:snapToGrid w:val="0"/>
          <w:color w:val="auto"/>
          <w:sz w:val="24"/>
          <w:szCs w:val="24"/>
          <w:highlight w:val="none"/>
          <w:lang w:val="zh-CN"/>
        </w:rPr>
      </w:pPr>
      <w:r>
        <w:rPr>
          <w:rFonts w:hint="eastAsia" w:ascii="宋体" w:hAnsi="宋体" w:cs="宋体"/>
          <w:bCs/>
          <w:color w:val="auto"/>
          <w:sz w:val="24"/>
          <w:szCs w:val="24"/>
          <w:highlight w:val="none"/>
        </w:rPr>
        <w:t>采购人应当自政府采购合同签订之日起</w:t>
      </w:r>
      <w:r>
        <w:rPr>
          <w:rFonts w:hint="eastAsia" w:ascii="宋体" w:hAnsi="宋体" w:cs="宋体"/>
          <w:snapToGrid w:val="0"/>
          <w:color w:val="auto"/>
          <w:sz w:val="24"/>
          <w:szCs w:val="24"/>
          <w:highlight w:val="none"/>
          <w:lang w:val="zh-CN"/>
        </w:rPr>
        <w:t>2个工作日内，将政府采购合同在省级以上人民政府财政部门指定的媒体上公告，但政府采购合同中涉及国家秘密、商业秘密的内容除外。</w:t>
      </w:r>
    </w:p>
    <w:p w14:paraId="505A55FB">
      <w:pPr>
        <w:pageBreakBefore w:val="0"/>
        <w:widowControl w:val="0"/>
        <w:numPr>
          <w:ilvl w:val="0"/>
          <w:numId w:val="11"/>
        </w:numPr>
        <w:tabs>
          <w:tab w:val="left" w:pos="426"/>
          <w:tab w:val="left" w:pos="644"/>
          <w:tab w:val="left" w:pos="840"/>
        </w:tabs>
        <w:kinsoku/>
        <w:wordWrap/>
        <w:overflowPunct/>
        <w:topLinePunct w:val="0"/>
        <w:bidi w:val="0"/>
        <w:adjustRightInd w:val="0"/>
        <w:spacing w:after="0" w:line="440" w:lineRule="exact"/>
        <w:ind w:left="424" w:hanging="484" w:hangingChars="202"/>
        <w:jc w:val="both"/>
        <w:outlineLvl w:val="1"/>
        <w:rPr>
          <w:rFonts w:ascii="宋体" w:hAnsi="宋体" w:cs="宋体"/>
          <w:snapToGrid w:val="0"/>
          <w:color w:val="auto"/>
          <w:sz w:val="24"/>
          <w:szCs w:val="24"/>
          <w:highlight w:val="none"/>
          <w:lang w:val="zh-CN"/>
        </w:rPr>
      </w:pPr>
      <w:r>
        <w:rPr>
          <w:rFonts w:hint="eastAsia" w:ascii="宋体" w:hAnsi="宋体" w:cs="宋体"/>
          <w:bCs/>
          <w:color w:val="auto"/>
          <w:sz w:val="24"/>
          <w:szCs w:val="24"/>
          <w:highlight w:val="none"/>
        </w:rPr>
        <w:t>采购人应当按照政府采购合同规定</w:t>
      </w:r>
      <w:r>
        <w:rPr>
          <w:rFonts w:hint="eastAsia" w:ascii="宋体" w:hAnsi="宋体" w:cs="宋体"/>
          <w:snapToGrid w:val="0"/>
          <w:color w:val="auto"/>
          <w:sz w:val="24"/>
          <w:szCs w:val="24"/>
          <w:highlight w:val="none"/>
          <w:lang w:val="zh-CN"/>
        </w:rPr>
        <w:t>，及时向成交供应商支付采购资金。</w:t>
      </w:r>
    </w:p>
    <w:p w14:paraId="34A168A8">
      <w:pPr>
        <w:pageBreakBefore w:val="0"/>
        <w:widowControl w:val="0"/>
        <w:numPr>
          <w:ilvl w:val="0"/>
          <w:numId w:val="11"/>
        </w:numPr>
        <w:tabs>
          <w:tab w:val="left" w:pos="426"/>
          <w:tab w:val="left" w:pos="644"/>
          <w:tab w:val="left" w:pos="840"/>
        </w:tabs>
        <w:kinsoku/>
        <w:wordWrap/>
        <w:overflowPunct/>
        <w:topLinePunct w:val="0"/>
        <w:bidi w:val="0"/>
        <w:adjustRightInd w:val="0"/>
        <w:spacing w:after="0" w:line="440" w:lineRule="exact"/>
        <w:ind w:left="424" w:hanging="484" w:hangingChars="202"/>
        <w:jc w:val="both"/>
        <w:outlineLvl w:val="1"/>
        <w:rPr>
          <w:rFonts w:ascii="宋体" w:hAnsi="宋体" w:cs="宋体"/>
          <w:snapToGrid w:val="0"/>
          <w:color w:val="auto"/>
          <w:sz w:val="24"/>
          <w:szCs w:val="24"/>
          <w:highlight w:val="none"/>
          <w:lang w:val="zh-CN"/>
        </w:rPr>
      </w:pPr>
      <w:r>
        <w:rPr>
          <w:rFonts w:hint="eastAsia" w:ascii="宋体" w:hAnsi="宋体" w:cs="宋体"/>
          <w:bCs/>
          <w:color w:val="auto"/>
          <w:sz w:val="24"/>
          <w:szCs w:val="24"/>
          <w:highlight w:val="none"/>
        </w:rPr>
        <w:t>付款方式</w:t>
      </w:r>
      <w:r>
        <w:rPr>
          <w:rFonts w:hint="eastAsia" w:ascii="宋体" w:hAnsi="宋体" w:cs="宋体"/>
          <w:snapToGrid w:val="0"/>
          <w:color w:val="auto"/>
          <w:sz w:val="24"/>
          <w:szCs w:val="24"/>
          <w:highlight w:val="none"/>
          <w:lang w:val="zh-CN"/>
        </w:rPr>
        <w:t>：见《供应商须知前附表》。</w:t>
      </w:r>
    </w:p>
    <w:p w14:paraId="2F38D324">
      <w:pPr>
        <w:pageBreakBefore w:val="0"/>
        <w:widowControl w:val="0"/>
        <w:numPr>
          <w:ilvl w:val="1"/>
          <w:numId w:val="10"/>
        </w:numPr>
        <w:tabs>
          <w:tab w:val="left" w:pos="540"/>
          <w:tab w:val="left" w:pos="840"/>
          <w:tab w:val="left" w:pos="1080"/>
        </w:tabs>
        <w:kinsoku/>
        <w:wordWrap/>
        <w:overflowPunct/>
        <w:topLinePunct w:val="0"/>
        <w:bidi w:val="0"/>
        <w:adjustRightInd w:val="0"/>
        <w:spacing w:after="0" w:line="440" w:lineRule="exact"/>
        <w:ind w:left="540" w:hanging="540"/>
        <w:jc w:val="both"/>
        <w:outlineLvl w:val="1"/>
        <w:rPr>
          <w:rFonts w:ascii="宋体" w:hAnsi="宋体" w:cs="宋体"/>
          <w:b/>
          <w:color w:val="auto"/>
          <w:sz w:val="24"/>
          <w:szCs w:val="24"/>
          <w:highlight w:val="none"/>
        </w:rPr>
      </w:pPr>
      <w:r>
        <w:rPr>
          <w:rFonts w:hint="eastAsia" w:ascii="宋体" w:hAnsi="宋体" w:cs="宋体"/>
          <w:b/>
          <w:color w:val="auto"/>
          <w:sz w:val="24"/>
          <w:szCs w:val="24"/>
          <w:highlight w:val="none"/>
        </w:rPr>
        <w:t>质疑和投诉</w:t>
      </w:r>
    </w:p>
    <w:p w14:paraId="3208EB50">
      <w:pPr>
        <w:pageBreakBefore w:val="0"/>
        <w:widowControl w:val="0"/>
        <w:numPr>
          <w:ilvl w:val="0"/>
          <w:numId w:val="11"/>
        </w:numPr>
        <w:tabs>
          <w:tab w:val="left" w:pos="426"/>
          <w:tab w:val="left" w:pos="644"/>
          <w:tab w:val="left" w:pos="840"/>
        </w:tabs>
        <w:kinsoku/>
        <w:wordWrap/>
        <w:overflowPunct/>
        <w:topLinePunct w:val="0"/>
        <w:bidi w:val="0"/>
        <w:adjustRightInd w:val="0"/>
        <w:spacing w:after="0" w:line="440" w:lineRule="exact"/>
        <w:ind w:left="424" w:hanging="484" w:hangingChars="202"/>
        <w:jc w:val="both"/>
        <w:outlineLvl w:val="1"/>
        <w:rPr>
          <w:rFonts w:ascii="宋体" w:hAnsi="宋体" w:cs="宋体"/>
          <w:color w:val="auto"/>
          <w:sz w:val="24"/>
          <w:szCs w:val="24"/>
          <w:highlight w:val="none"/>
        </w:rPr>
      </w:pPr>
      <w:r>
        <w:rPr>
          <w:rFonts w:hint="eastAsia" w:ascii="宋体" w:hAnsi="宋体" w:cs="宋体"/>
          <w:bCs/>
          <w:color w:val="auto"/>
          <w:sz w:val="24"/>
          <w:szCs w:val="24"/>
          <w:highlight w:val="none"/>
        </w:rPr>
        <w:t>质疑</w:t>
      </w:r>
    </w:p>
    <w:p w14:paraId="1B3830BC">
      <w:pPr>
        <w:pStyle w:val="99"/>
        <w:pageBreakBefore w:val="0"/>
        <w:widowControl w:val="0"/>
        <w:numPr>
          <w:ilvl w:val="0"/>
          <w:numId w:val="47"/>
        </w:numPr>
        <w:tabs>
          <w:tab w:val="left" w:pos="851"/>
        </w:tabs>
        <w:kinsoku/>
        <w:wordWrap/>
        <w:overflowPunct/>
        <w:topLinePunct w:val="0"/>
        <w:bidi w:val="0"/>
        <w:adjustRightInd w:val="0"/>
        <w:spacing w:after="0" w:line="440" w:lineRule="exact"/>
        <w:ind w:left="567" w:hanging="567"/>
        <w:jc w:val="both"/>
        <w:rPr>
          <w:rFonts w:ascii="宋体" w:hAnsi="宋体" w:cs="宋体"/>
          <w:color w:val="auto"/>
          <w:sz w:val="24"/>
          <w:szCs w:val="24"/>
          <w:highlight w:val="none"/>
        </w:rPr>
      </w:pPr>
      <w:r>
        <w:rPr>
          <w:rFonts w:hint="eastAsia" w:ascii="宋体" w:hAnsi="宋体" w:cs="宋体"/>
          <w:color w:val="auto"/>
          <w:sz w:val="24"/>
          <w:szCs w:val="24"/>
          <w:highlight w:val="none"/>
        </w:rPr>
        <w:t>供应商认为采购文件、磋商过程和成交结果使自己的权益受到损害的，可以在知道或者应知其权益受到损害之日起7个工作日内，以书面形式向采购人、采购代理机构一次性提出针对同一采购程序环节的质疑。</w:t>
      </w:r>
    </w:p>
    <w:p w14:paraId="55B25983">
      <w:pPr>
        <w:pStyle w:val="99"/>
        <w:pageBreakBefore w:val="0"/>
        <w:widowControl w:val="0"/>
        <w:numPr>
          <w:ilvl w:val="0"/>
          <w:numId w:val="47"/>
        </w:numPr>
        <w:tabs>
          <w:tab w:val="left" w:pos="851"/>
        </w:tabs>
        <w:kinsoku/>
        <w:wordWrap/>
        <w:overflowPunct/>
        <w:topLinePunct w:val="0"/>
        <w:bidi w:val="0"/>
        <w:adjustRightInd w:val="0"/>
        <w:spacing w:after="0" w:line="440" w:lineRule="exact"/>
        <w:ind w:left="567" w:hanging="567"/>
        <w:jc w:val="both"/>
        <w:rPr>
          <w:rFonts w:ascii="宋体" w:hAnsi="宋体" w:cs="宋体"/>
          <w:color w:val="auto"/>
          <w:sz w:val="24"/>
          <w:szCs w:val="24"/>
          <w:highlight w:val="none"/>
        </w:rPr>
      </w:pPr>
      <w:r>
        <w:rPr>
          <w:rFonts w:hint="eastAsia" w:ascii="宋体" w:hAnsi="宋体" w:cs="宋体"/>
          <w:color w:val="auto"/>
          <w:sz w:val="24"/>
          <w:szCs w:val="24"/>
          <w:highlight w:val="none"/>
        </w:rPr>
        <w:t>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3620DFCA">
      <w:pPr>
        <w:pageBreakBefore w:val="0"/>
        <w:kinsoku/>
        <w:wordWrap/>
        <w:overflowPunct/>
        <w:topLinePunct w:val="0"/>
        <w:bidi w:val="0"/>
        <w:spacing w:after="0" w:line="440" w:lineRule="exact"/>
        <w:ind w:left="765" w:leftChars="202" w:hanging="321" w:hangingChars="134"/>
        <w:rPr>
          <w:rFonts w:ascii="宋体" w:hAnsi="宋体"/>
          <w:color w:val="auto"/>
          <w:sz w:val="24"/>
          <w:szCs w:val="24"/>
          <w:highlight w:val="none"/>
        </w:rPr>
      </w:pPr>
      <w:r>
        <w:rPr>
          <w:rFonts w:hint="eastAsia" w:ascii="宋体" w:hAnsi="宋体" w:cs="宋体"/>
          <w:color w:val="auto"/>
          <w:sz w:val="24"/>
          <w:szCs w:val="24"/>
          <w:highlight w:val="none"/>
        </w:rPr>
        <w:t>1）</w:t>
      </w:r>
      <w:r>
        <w:rPr>
          <w:rFonts w:hint="eastAsia" w:ascii="宋体" w:hAnsi="宋体"/>
          <w:color w:val="auto"/>
          <w:sz w:val="24"/>
          <w:szCs w:val="24"/>
          <w:highlight w:val="none"/>
        </w:rPr>
        <w:t>供应商的姓名或者名称、地址、邮编、联系人及联系电话（供应商为自然人的，应当由本人签名；供应商为法人或者其他组织的，应当由法定代表人、主要负责人，或者其法定代表人或授权代表（签名）或者盖章，并加盖公章。供应商授权代表办理质疑事务的，应当提供授权委托书，授权委托书应当载明委托代理的具体权限和事项）；</w:t>
      </w:r>
    </w:p>
    <w:p w14:paraId="2636231F">
      <w:pPr>
        <w:pageBreakBefore w:val="0"/>
        <w:kinsoku/>
        <w:wordWrap/>
        <w:overflowPunct/>
        <w:topLinePunct w:val="0"/>
        <w:bidi w:val="0"/>
        <w:spacing w:after="0" w:line="440" w:lineRule="exact"/>
        <w:ind w:left="765" w:leftChars="202" w:hanging="321" w:hangingChars="134"/>
        <w:rPr>
          <w:rFonts w:ascii="宋体" w:hAnsi="宋体"/>
          <w:color w:val="auto"/>
          <w:sz w:val="24"/>
          <w:szCs w:val="24"/>
          <w:highlight w:val="none"/>
        </w:rPr>
      </w:pPr>
      <w:r>
        <w:rPr>
          <w:rFonts w:hint="eastAsia" w:ascii="宋体" w:hAnsi="宋体"/>
          <w:color w:val="auto"/>
          <w:sz w:val="24"/>
          <w:szCs w:val="24"/>
          <w:highlight w:val="none"/>
        </w:rPr>
        <w:t>2）质疑项目的名称、编号；</w:t>
      </w:r>
    </w:p>
    <w:p w14:paraId="05EE34D5">
      <w:pPr>
        <w:pageBreakBefore w:val="0"/>
        <w:kinsoku/>
        <w:wordWrap/>
        <w:overflowPunct/>
        <w:topLinePunct w:val="0"/>
        <w:bidi w:val="0"/>
        <w:spacing w:after="0" w:line="440" w:lineRule="exact"/>
        <w:ind w:left="765" w:leftChars="202" w:hanging="321" w:hangingChars="134"/>
        <w:rPr>
          <w:rFonts w:ascii="宋体" w:hAnsi="宋体"/>
          <w:color w:val="auto"/>
          <w:sz w:val="24"/>
          <w:szCs w:val="24"/>
          <w:highlight w:val="none"/>
        </w:rPr>
      </w:pPr>
      <w:r>
        <w:rPr>
          <w:rFonts w:hint="eastAsia" w:ascii="宋体" w:hAnsi="宋体"/>
          <w:color w:val="auto"/>
          <w:sz w:val="24"/>
          <w:szCs w:val="24"/>
          <w:highlight w:val="none"/>
        </w:rPr>
        <w:t>3）具体、明确的质疑事项和与质疑事项相关的请求；</w:t>
      </w:r>
    </w:p>
    <w:p w14:paraId="1E6D7751">
      <w:pPr>
        <w:pageBreakBefore w:val="0"/>
        <w:kinsoku/>
        <w:wordWrap/>
        <w:overflowPunct/>
        <w:topLinePunct w:val="0"/>
        <w:bidi w:val="0"/>
        <w:spacing w:after="0" w:line="440" w:lineRule="exact"/>
        <w:ind w:left="765" w:leftChars="202" w:hanging="321" w:hangingChars="134"/>
        <w:rPr>
          <w:rFonts w:ascii="宋体" w:hAnsi="宋体"/>
          <w:color w:val="auto"/>
          <w:sz w:val="24"/>
          <w:szCs w:val="24"/>
          <w:highlight w:val="none"/>
        </w:rPr>
      </w:pPr>
      <w:r>
        <w:rPr>
          <w:rFonts w:hint="eastAsia" w:ascii="宋体" w:hAnsi="宋体"/>
          <w:color w:val="auto"/>
          <w:sz w:val="24"/>
          <w:szCs w:val="24"/>
          <w:highlight w:val="none"/>
        </w:rPr>
        <w:t>4）质疑事项的事实根据、及其他必要的证明材料（供应商提供的证明材料属于其他供应商响应文件未公开内容的，应当提供书面材料证明其合法来源）；</w:t>
      </w:r>
    </w:p>
    <w:p w14:paraId="68873125">
      <w:pPr>
        <w:pageBreakBefore w:val="0"/>
        <w:kinsoku/>
        <w:wordWrap/>
        <w:overflowPunct/>
        <w:topLinePunct w:val="0"/>
        <w:bidi w:val="0"/>
        <w:spacing w:after="0" w:line="440" w:lineRule="exact"/>
        <w:ind w:left="765" w:leftChars="202" w:hanging="321" w:hangingChars="134"/>
        <w:rPr>
          <w:rFonts w:ascii="宋体" w:hAnsi="宋体"/>
          <w:color w:val="auto"/>
          <w:sz w:val="24"/>
          <w:szCs w:val="24"/>
          <w:highlight w:val="none"/>
        </w:rPr>
      </w:pPr>
      <w:r>
        <w:rPr>
          <w:rFonts w:hint="eastAsia" w:ascii="宋体" w:hAnsi="宋体"/>
          <w:color w:val="auto"/>
          <w:sz w:val="24"/>
          <w:szCs w:val="24"/>
          <w:highlight w:val="none"/>
        </w:rPr>
        <w:t>5）必要的法律依据；</w:t>
      </w:r>
    </w:p>
    <w:p w14:paraId="257546AA">
      <w:pPr>
        <w:pageBreakBefore w:val="0"/>
        <w:kinsoku/>
        <w:wordWrap/>
        <w:overflowPunct/>
        <w:topLinePunct w:val="0"/>
        <w:bidi w:val="0"/>
        <w:spacing w:after="0" w:line="440" w:lineRule="exact"/>
        <w:ind w:left="765" w:leftChars="202" w:hanging="321" w:hangingChars="134"/>
        <w:rPr>
          <w:rFonts w:ascii="宋体" w:hAnsi="宋体" w:cs="宋体"/>
          <w:color w:val="auto"/>
          <w:sz w:val="24"/>
          <w:szCs w:val="24"/>
          <w:highlight w:val="none"/>
        </w:rPr>
      </w:pPr>
      <w:r>
        <w:rPr>
          <w:rFonts w:hint="eastAsia" w:ascii="宋体" w:hAnsi="宋体"/>
          <w:color w:val="auto"/>
          <w:sz w:val="24"/>
          <w:szCs w:val="24"/>
          <w:highlight w:val="none"/>
        </w:rPr>
        <w:t>6）提起质</w:t>
      </w:r>
      <w:r>
        <w:rPr>
          <w:rFonts w:hint="eastAsia" w:ascii="宋体" w:hAnsi="宋体" w:cs="宋体"/>
          <w:color w:val="auto"/>
          <w:sz w:val="24"/>
          <w:szCs w:val="24"/>
          <w:highlight w:val="none"/>
        </w:rPr>
        <w:t>疑的日期。</w:t>
      </w:r>
    </w:p>
    <w:p w14:paraId="1F24A2A7">
      <w:pPr>
        <w:pStyle w:val="99"/>
        <w:pageBreakBefore w:val="0"/>
        <w:widowControl w:val="0"/>
        <w:numPr>
          <w:ilvl w:val="0"/>
          <w:numId w:val="47"/>
        </w:numPr>
        <w:tabs>
          <w:tab w:val="left" w:pos="851"/>
        </w:tabs>
        <w:kinsoku/>
        <w:wordWrap/>
        <w:overflowPunct/>
        <w:topLinePunct w:val="0"/>
        <w:bidi w:val="0"/>
        <w:adjustRightInd w:val="0"/>
        <w:spacing w:after="0" w:line="440" w:lineRule="exact"/>
        <w:ind w:left="567" w:hanging="567"/>
        <w:jc w:val="both"/>
        <w:rPr>
          <w:rFonts w:ascii="宋体" w:hAnsi="宋体"/>
          <w:color w:val="auto"/>
          <w:sz w:val="24"/>
          <w:szCs w:val="24"/>
          <w:highlight w:val="none"/>
        </w:rPr>
      </w:pPr>
      <w:r>
        <w:rPr>
          <w:rFonts w:hint="eastAsia" w:ascii="宋体" w:hAnsi="宋体" w:cs="宋体"/>
          <w:color w:val="auto"/>
          <w:sz w:val="24"/>
          <w:szCs w:val="24"/>
          <w:highlight w:val="none"/>
        </w:rPr>
        <w:t>质疑函不符合上述要求的</w:t>
      </w:r>
      <w:r>
        <w:rPr>
          <w:rFonts w:hint="eastAsia" w:ascii="宋体" w:hAnsi="宋体"/>
          <w:color w:val="auto"/>
          <w:sz w:val="24"/>
          <w:szCs w:val="24"/>
          <w:highlight w:val="none"/>
        </w:rPr>
        <w:t>，采购人或代理机构应书面告知具体事项，供应商应当按要求进行修改或补充，并在质疑有效期限内提交。</w:t>
      </w:r>
    </w:p>
    <w:p w14:paraId="5B80B1AA">
      <w:pPr>
        <w:pStyle w:val="99"/>
        <w:pageBreakBefore w:val="0"/>
        <w:widowControl w:val="0"/>
        <w:numPr>
          <w:ilvl w:val="0"/>
          <w:numId w:val="47"/>
        </w:numPr>
        <w:tabs>
          <w:tab w:val="left" w:pos="851"/>
        </w:tabs>
        <w:kinsoku/>
        <w:wordWrap/>
        <w:overflowPunct/>
        <w:topLinePunct w:val="0"/>
        <w:bidi w:val="0"/>
        <w:adjustRightInd w:val="0"/>
        <w:spacing w:after="0" w:line="440" w:lineRule="exact"/>
        <w:ind w:left="567" w:hanging="567"/>
        <w:jc w:val="both"/>
        <w:rPr>
          <w:rFonts w:ascii="宋体" w:hAnsi="宋体" w:cs="宋体"/>
          <w:color w:val="auto"/>
          <w:sz w:val="24"/>
          <w:szCs w:val="24"/>
          <w:highlight w:val="none"/>
        </w:rPr>
      </w:pPr>
      <w:r>
        <w:rPr>
          <w:rFonts w:hint="eastAsia" w:ascii="宋体" w:hAnsi="宋体" w:cs="宋体"/>
          <w:color w:val="auto"/>
          <w:sz w:val="24"/>
          <w:szCs w:val="24"/>
          <w:highlight w:val="none"/>
        </w:rPr>
        <w:t>供应商应知其权益受到损害之日是指：</w:t>
      </w:r>
    </w:p>
    <w:p w14:paraId="732CAE28">
      <w:pPr>
        <w:pageBreakBefore w:val="0"/>
        <w:kinsoku/>
        <w:wordWrap/>
        <w:overflowPunct/>
        <w:topLinePunct w:val="0"/>
        <w:bidi w:val="0"/>
        <w:spacing w:after="0" w:line="440" w:lineRule="exact"/>
        <w:ind w:left="741" w:leftChars="202" w:hanging="297" w:hangingChars="124"/>
        <w:rPr>
          <w:rFonts w:ascii="宋体" w:hAnsi="宋体"/>
          <w:color w:val="auto"/>
          <w:sz w:val="24"/>
          <w:szCs w:val="24"/>
          <w:highlight w:val="none"/>
        </w:rPr>
      </w:pPr>
      <w:r>
        <w:rPr>
          <w:rFonts w:hint="eastAsia" w:ascii="宋体" w:hAnsi="宋体" w:cs="宋体"/>
          <w:color w:val="auto"/>
          <w:sz w:val="24"/>
          <w:szCs w:val="24"/>
          <w:highlight w:val="none"/>
        </w:rPr>
        <w:t>1）</w:t>
      </w:r>
      <w:r>
        <w:rPr>
          <w:rFonts w:hint="eastAsia" w:ascii="宋体" w:hAnsi="宋体"/>
          <w:color w:val="auto"/>
          <w:sz w:val="24"/>
          <w:szCs w:val="24"/>
          <w:highlight w:val="none"/>
        </w:rPr>
        <w:t>对可以质疑的采购文件提出质疑的，为收到采购文件之日或者采购文件公告期限届满之日；</w:t>
      </w:r>
    </w:p>
    <w:p w14:paraId="142227D9">
      <w:pPr>
        <w:pageBreakBefore w:val="0"/>
        <w:kinsoku/>
        <w:wordWrap/>
        <w:overflowPunct/>
        <w:topLinePunct w:val="0"/>
        <w:bidi w:val="0"/>
        <w:spacing w:after="0" w:line="440" w:lineRule="exact"/>
        <w:ind w:left="1039" w:leftChars="203" w:hanging="592" w:hangingChars="247"/>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olor w:val="auto"/>
          <w:sz w:val="24"/>
          <w:szCs w:val="24"/>
          <w:highlight w:val="none"/>
        </w:rPr>
        <w:t>对磋</w:t>
      </w:r>
      <w:r>
        <w:rPr>
          <w:rFonts w:hint="eastAsia" w:ascii="宋体" w:hAnsi="宋体" w:cs="宋体"/>
          <w:color w:val="auto"/>
          <w:sz w:val="24"/>
          <w:szCs w:val="24"/>
          <w:highlight w:val="none"/>
        </w:rPr>
        <w:t>商过程提出质疑的，为各磋商程序环节结束之日；</w:t>
      </w:r>
    </w:p>
    <w:p w14:paraId="7D5F7849">
      <w:pPr>
        <w:pageBreakBefore w:val="0"/>
        <w:kinsoku/>
        <w:wordWrap/>
        <w:overflowPunct/>
        <w:topLinePunct w:val="0"/>
        <w:bidi w:val="0"/>
        <w:spacing w:after="0" w:line="440" w:lineRule="exact"/>
        <w:ind w:left="1039" w:leftChars="203" w:hanging="592" w:hangingChars="247"/>
        <w:rPr>
          <w:rFonts w:ascii="宋体" w:hAnsi="宋体"/>
          <w:color w:val="auto"/>
          <w:sz w:val="24"/>
          <w:szCs w:val="24"/>
          <w:highlight w:val="none"/>
        </w:rPr>
      </w:pPr>
      <w:r>
        <w:rPr>
          <w:rFonts w:hint="eastAsia" w:ascii="宋体" w:hAnsi="宋体" w:cs="宋体"/>
          <w:color w:val="auto"/>
          <w:sz w:val="24"/>
          <w:szCs w:val="24"/>
          <w:highlight w:val="none"/>
        </w:rPr>
        <w:t>3）对成交</w:t>
      </w:r>
      <w:r>
        <w:rPr>
          <w:rFonts w:hint="eastAsia" w:ascii="宋体" w:hAnsi="宋体"/>
          <w:color w:val="auto"/>
          <w:sz w:val="24"/>
          <w:szCs w:val="24"/>
          <w:highlight w:val="none"/>
        </w:rPr>
        <w:t>结果提出质疑的，为成交公告期限届满之日。</w:t>
      </w:r>
    </w:p>
    <w:p w14:paraId="52967B29">
      <w:pPr>
        <w:pageBreakBefore w:val="0"/>
        <w:widowControl w:val="0"/>
        <w:numPr>
          <w:ilvl w:val="0"/>
          <w:numId w:val="11"/>
        </w:numPr>
        <w:tabs>
          <w:tab w:val="left" w:pos="426"/>
          <w:tab w:val="left" w:pos="644"/>
          <w:tab w:val="left" w:pos="840"/>
        </w:tabs>
        <w:kinsoku/>
        <w:wordWrap/>
        <w:overflowPunct/>
        <w:topLinePunct w:val="0"/>
        <w:bidi w:val="0"/>
        <w:adjustRightInd w:val="0"/>
        <w:spacing w:after="0" w:line="440" w:lineRule="exact"/>
        <w:ind w:left="424" w:hanging="484" w:hangingChars="202"/>
        <w:jc w:val="both"/>
        <w:outlineLvl w:val="1"/>
        <w:rPr>
          <w:rFonts w:ascii="宋体" w:hAnsi="宋体" w:cs="宋体"/>
          <w:snapToGrid w:val="0"/>
          <w:color w:val="auto"/>
          <w:sz w:val="24"/>
          <w:szCs w:val="24"/>
          <w:highlight w:val="none"/>
          <w:lang w:val="zh-CN"/>
        </w:rPr>
      </w:pPr>
      <w:r>
        <w:rPr>
          <w:rFonts w:hint="eastAsia" w:ascii="宋体" w:hAnsi="宋体" w:cs="宋体"/>
          <w:bCs/>
          <w:color w:val="auto"/>
          <w:sz w:val="24"/>
          <w:szCs w:val="24"/>
          <w:highlight w:val="none"/>
        </w:rPr>
        <w:t>质疑不予受理的情形</w:t>
      </w:r>
      <w:r>
        <w:rPr>
          <w:rFonts w:hint="eastAsia" w:ascii="宋体" w:hAnsi="宋体" w:cs="宋体"/>
          <w:snapToGrid w:val="0"/>
          <w:color w:val="auto"/>
          <w:sz w:val="24"/>
          <w:szCs w:val="24"/>
          <w:highlight w:val="none"/>
          <w:lang w:val="zh-CN"/>
        </w:rPr>
        <w:t>。供应商未按本章规定的时限、内容及方式进行质疑的，采购代理机构不予受理。</w:t>
      </w:r>
    </w:p>
    <w:p w14:paraId="72018E71">
      <w:pPr>
        <w:pageBreakBefore w:val="0"/>
        <w:widowControl w:val="0"/>
        <w:numPr>
          <w:ilvl w:val="1"/>
          <w:numId w:val="10"/>
        </w:numPr>
        <w:tabs>
          <w:tab w:val="left" w:pos="540"/>
          <w:tab w:val="left" w:pos="709"/>
          <w:tab w:val="left" w:pos="1080"/>
        </w:tabs>
        <w:kinsoku/>
        <w:wordWrap/>
        <w:overflowPunct/>
        <w:topLinePunct w:val="0"/>
        <w:bidi w:val="0"/>
        <w:adjustRightInd w:val="0"/>
        <w:spacing w:after="0" w:line="440" w:lineRule="exact"/>
        <w:ind w:left="540" w:hanging="540"/>
        <w:jc w:val="both"/>
        <w:outlineLvl w:val="1"/>
        <w:rPr>
          <w:rFonts w:ascii="宋体" w:hAnsi="宋体" w:cs="宋体"/>
          <w:b/>
          <w:color w:val="auto"/>
          <w:sz w:val="24"/>
          <w:szCs w:val="24"/>
          <w:highlight w:val="none"/>
        </w:rPr>
      </w:pPr>
      <w:r>
        <w:rPr>
          <w:rFonts w:hint="eastAsia" w:ascii="宋体" w:hAnsi="宋体" w:cs="宋体"/>
          <w:b/>
          <w:color w:val="auto"/>
          <w:sz w:val="24"/>
          <w:szCs w:val="24"/>
          <w:highlight w:val="none"/>
        </w:rPr>
        <w:t>保密</w:t>
      </w:r>
    </w:p>
    <w:p w14:paraId="40C2772B">
      <w:pPr>
        <w:pageBreakBefore w:val="0"/>
        <w:widowControl w:val="0"/>
        <w:numPr>
          <w:ilvl w:val="0"/>
          <w:numId w:val="11"/>
        </w:numPr>
        <w:tabs>
          <w:tab w:val="left" w:pos="426"/>
          <w:tab w:val="left" w:pos="644"/>
          <w:tab w:val="left" w:pos="840"/>
        </w:tabs>
        <w:kinsoku/>
        <w:wordWrap/>
        <w:overflowPunct/>
        <w:topLinePunct w:val="0"/>
        <w:bidi w:val="0"/>
        <w:adjustRightInd w:val="0"/>
        <w:spacing w:after="0" w:line="440" w:lineRule="exact"/>
        <w:ind w:left="424" w:hanging="484" w:hangingChars="202"/>
        <w:jc w:val="both"/>
        <w:outlineLvl w:val="1"/>
        <w:rPr>
          <w:rFonts w:ascii="宋体" w:hAnsi="宋体" w:cs="宋体"/>
          <w:color w:val="auto"/>
          <w:sz w:val="24"/>
          <w:szCs w:val="24"/>
          <w:highlight w:val="none"/>
        </w:rPr>
      </w:pPr>
      <w:r>
        <w:rPr>
          <w:rFonts w:hint="eastAsia" w:ascii="宋体" w:hAnsi="宋体" w:cs="宋体"/>
          <w:bCs/>
          <w:color w:val="auto"/>
          <w:sz w:val="24"/>
          <w:szCs w:val="24"/>
          <w:highlight w:val="none"/>
        </w:rPr>
        <w:t>凡是属于审查</w:t>
      </w:r>
      <w:r>
        <w:rPr>
          <w:rFonts w:hint="eastAsia" w:ascii="宋体" w:hAnsi="宋体" w:cs="宋体"/>
          <w:snapToGrid w:val="0"/>
          <w:color w:val="auto"/>
          <w:sz w:val="24"/>
          <w:szCs w:val="24"/>
          <w:highlight w:val="none"/>
          <w:lang w:val="zh-CN"/>
        </w:rPr>
        <w:t>、澄清、评价和比较的有关资料以及授标意向等，采购人、采购代理机</w:t>
      </w:r>
      <w:r>
        <w:rPr>
          <w:rFonts w:hint="eastAsia" w:ascii="宋体" w:hAnsi="宋体" w:cs="宋体"/>
          <w:color w:val="auto"/>
          <w:sz w:val="24"/>
          <w:szCs w:val="24"/>
          <w:highlight w:val="none"/>
        </w:rPr>
        <w:t>构、监管人员、评审小组及有关工作人员均不得向供应商或其它无关的人员透露。</w:t>
      </w:r>
    </w:p>
    <w:p w14:paraId="7F6278AB">
      <w:pPr>
        <w:pageBreakBefore w:val="0"/>
        <w:widowControl w:val="0"/>
        <w:numPr>
          <w:ilvl w:val="1"/>
          <w:numId w:val="10"/>
        </w:numPr>
        <w:tabs>
          <w:tab w:val="left" w:pos="540"/>
          <w:tab w:val="left" w:pos="709"/>
          <w:tab w:val="left" w:pos="1080"/>
        </w:tabs>
        <w:kinsoku/>
        <w:wordWrap/>
        <w:overflowPunct/>
        <w:topLinePunct w:val="0"/>
        <w:bidi w:val="0"/>
        <w:adjustRightInd w:val="0"/>
        <w:spacing w:after="0" w:line="440" w:lineRule="exact"/>
        <w:ind w:left="540" w:hanging="540"/>
        <w:jc w:val="both"/>
        <w:outlineLvl w:val="1"/>
        <w:rPr>
          <w:rFonts w:ascii="宋体" w:hAnsi="宋体" w:cs="宋体"/>
          <w:b/>
          <w:color w:val="auto"/>
          <w:sz w:val="24"/>
          <w:szCs w:val="24"/>
          <w:highlight w:val="none"/>
        </w:rPr>
      </w:pPr>
      <w:bookmarkStart w:id="113" w:name="_Toc494561947"/>
      <w:bookmarkStart w:id="114" w:name="_Toc14154"/>
      <w:bookmarkStart w:id="115" w:name="_Toc1604"/>
      <w:bookmarkStart w:id="116" w:name="_Toc278891599"/>
      <w:bookmarkStart w:id="117" w:name="_Toc494561950"/>
      <w:bookmarkStart w:id="118" w:name="_Toc272247702"/>
      <w:r>
        <w:rPr>
          <w:rFonts w:hint="eastAsia" w:ascii="宋体" w:hAnsi="宋体" w:cs="宋体"/>
          <w:b/>
          <w:color w:val="auto"/>
          <w:sz w:val="24"/>
          <w:szCs w:val="24"/>
          <w:highlight w:val="none"/>
        </w:rPr>
        <w:t>相关条文解读</w:t>
      </w:r>
      <w:bookmarkEnd w:id="113"/>
      <w:bookmarkEnd w:id="114"/>
    </w:p>
    <w:p w14:paraId="7FBC4655">
      <w:pPr>
        <w:pageBreakBefore w:val="0"/>
        <w:widowControl w:val="0"/>
        <w:numPr>
          <w:ilvl w:val="0"/>
          <w:numId w:val="11"/>
        </w:numPr>
        <w:tabs>
          <w:tab w:val="left" w:pos="426"/>
          <w:tab w:val="left" w:pos="644"/>
          <w:tab w:val="left" w:pos="840"/>
        </w:tabs>
        <w:kinsoku/>
        <w:wordWrap/>
        <w:overflowPunct/>
        <w:topLinePunct w:val="0"/>
        <w:bidi w:val="0"/>
        <w:adjustRightInd w:val="0"/>
        <w:spacing w:after="0" w:line="440" w:lineRule="exact"/>
        <w:ind w:left="424" w:hanging="484" w:hangingChars="202"/>
        <w:jc w:val="both"/>
        <w:outlineLvl w:val="1"/>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w:t>
      </w:r>
      <w:r>
        <w:rPr>
          <w:rFonts w:hint="eastAsia" w:ascii="宋体" w:hAnsi="宋体" w:cs="宋体"/>
          <w:bCs/>
          <w:color w:val="auto"/>
          <w:sz w:val="24"/>
          <w:szCs w:val="24"/>
          <w:highlight w:val="none"/>
        </w:rPr>
        <w:t>政府采购法</w:t>
      </w:r>
      <w:r>
        <w:rPr>
          <w:rFonts w:hint="eastAsia" w:ascii="宋体" w:hAnsi="宋体" w:cs="宋体"/>
          <w:snapToGrid w:val="0"/>
          <w:color w:val="auto"/>
          <w:sz w:val="24"/>
          <w:szCs w:val="24"/>
          <w:highlight w:val="none"/>
          <w:lang w:val="zh-CN"/>
        </w:rPr>
        <w:t>》第二十二条第五条所称重大违法记录，是指供应商因违法经营受到刑事处罚或者责令停产停业、吊销许可证或者执照、较大数额（根据财政部关于《中华人民共和国政府采购法实施条例》第十九条第一款“较大数额罚款”具体适用问题的意见（财库﹝2022﹞3号），“较大数额罚款”认定为200万元以上的罚款，法律、行政法规以及国务院有关部门明确规定相关领域“较大数额罚款”标准高于200万元的，从其规定）罚款等行政处罚。</w:t>
      </w:r>
    </w:p>
    <w:p w14:paraId="74E321CA">
      <w:pPr>
        <w:pageBreakBefore w:val="0"/>
        <w:widowControl w:val="0"/>
        <w:numPr>
          <w:ilvl w:val="0"/>
          <w:numId w:val="11"/>
        </w:numPr>
        <w:tabs>
          <w:tab w:val="left" w:pos="426"/>
          <w:tab w:val="left" w:pos="644"/>
          <w:tab w:val="left" w:pos="840"/>
        </w:tabs>
        <w:kinsoku/>
        <w:wordWrap/>
        <w:overflowPunct/>
        <w:topLinePunct w:val="0"/>
        <w:bidi w:val="0"/>
        <w:adjustRightInd w:val="0"/>
        <w:spacing w:after="0" w:line="440" w:lineRule="exact"/>
        <w:ind w:left="424" w:hanging="484" w:hangingChars="202"/>
        <w:jc w:val="both"/>
        <w:outlineLvl w:val="1"/>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按照财政部《关于规范政府采购行政处罚有关问题的通知》的规定，</w:t>
      </w:r>
      <w:r>
        <w:rPr>
          <w:rFonts w:hint="eastAsia" w:ascii="宋体" w:hAnsi="宋体" w:cs="宋体"/>
          <w:bCs/>
          <w:color w:val="auto"/>
          <w:sz w:val="24"/>
          <w:szCs w:val="24"/>
          <w:highlight w:val="none"/>
        </w:rPr>
        <w:t>各级人民政府财政部门依法对参加政府采购活动的供应商作出的禁止参加政府采购活动等行政处罚决定在全国范围内生效</w:t>
      </w:r>
      <w:r>
        <w:rPr>
          <w:rFonts w:hint="eastAsia" w:ascii="宋体" w:hAnsi="宋体" w:cs="宋体"/>
          <w:snapToGrid w:val="0"/>
          <w:color w:val="auto"/>
          <w:sz w:val="24"/>
          <w:szCs w:val="24"/>
          <w:highlight w:val="none"/>
          <w:lang w:val="zh-CN"/>
        </w:rPr>
        <w:t>。</w:t>
      </w:r>
    </w:p>
    <w:p w14:paraId="48942669">
      <w:pPr>
        <w:pageBreakBefore w:val="0"/>
        <w:widowControl w:val="0"/>
        <w:numPr>
          <w:ilvl w:val="0"/>
          <w:numId w:val="11"/>
        </w:numPr>
        <w:tabs>
          <w:tab w:val="left" w:pos="426"/>
          <w:tab w:val="left" w:pos="644"/>
          <w:tab w:val="left" w:pos="840"/>
        </w:tabs>
        <w:kinsoku/>
        <w:wordWrap/>
        <w:overflowPunct/>
        <w:topLinePunct w:val="0"/>
        <w:bidi w:val="0"/>
        <w:adjustRightInd w:val="0"/>
        <w:spacing w:after="0" w:line="440" w:lineRule="exact"/>
        <w:ind w:left="424" w:hanging="484" w:hangingChars="202"/>
        <w:jc w:val="both"/>
        <w:outlineLvl w:val="1"/>
        <w:rPr>
          <w:rFonts w:ascii="宋体" w:hAnsi="宋体" w:cs="宋体"/>
          <w:snapToGrid w:val="0"/>
          <w:color w:val="auto"/>
          <w:sz w:val="24"/>
          <w:szCs w:val="24"/>
          <w:highlight w:val="none"/>
          <w:lang w:val="zh-CN"/>
        </w:rPr>
      </w:pPr>
      <w:r>
        <w:rPr>
          <w:rFonts w:hint="eastAsia" w:ascii="宋体" w:hAnsi="宋体" w:cs="宋体"/>
          <w:bCs/>
          <w:color w:val="auto"/>
          <w:sz w:val="24"/>
          <w:szCs w:val="24"/>
          <w:highlight w:val="none"/>
        </w:rPr>
        <w:t>供应商在参加政府采购活动前</w:t>
      </w:r>
      <w:r>
        <w:rPr>
          <w:rFonts w:hint="eastAsia" w:ascii="宋体" w:hAnsi="宋体" w:cs="宋体"/>
          <w:snapToGrid w:val="0"/>
          <w:color w:val="auto"/>
          <w:sz w:val="24"/>
          <w:szCs w:val="24"/>
          <w:highlight w:val="none"/>
          <w:lang w:val="zh-CN"/>
        </w:rPr>
        <w:t>3年内因违法经营被禁止在一定期限内参加政府采购活动，期限届满的，可以参加政府采购活动。</w:t>
      </w:r>
    </w:p>
    <w:p w14:paraId="769276DD">
      <w:pPr>
        <w:pageBreakBefore w:val="0"/>
        <w:widowControl w:val="0"/>
        <w:numPr>
          <w:ilvl w:val="1"/>
          <w:numId w:val="10"/>
        </w:numPr>
        <w:tabs>
          <w:tab w:val="left" w:pos="540"/>
          <w:tab w:val="left" w:pos="709"/>
          <w:tab w:val="left" w:pos="1080"/>
        </w:tabs>
        <w:kinsoku/>
        <w:wordWrap/>
        <w:overflowPunct/>
        <w:topLinePunct w:val="0"/>
        <w:bidi w:val="0"/>
        <w:adjustRightInd w:val="0"/>
        <w:spacing w:after="0" w:line="440" w:lineRule="exact"/>
        <w:ind w:left="540" w:hanging="540"/>
        <w:jc w:val="both"/>
        <w:outlineLvl w:val="1"/>
        <w:rPr>
          <w:rFonts w:ascii="宋体" w:hAnsi="宋体" w:cs="宋体"/>
          <w:b/>
          <w:color w:val="auto"/>
          <w:sz w:val="24"/>
          <w:szCs w:val="24"/>
          <w:highlight w:val="none"/>
        </w:rPr>
      </w:pPr>
      <w:r>
        <w:rPr>
          <w:rFonts w:hint="eastAsia" w:ascii="宋体" w:hAnsi="宋体" w:cs="宋体"/>
          <w:b/>
          <w:color w:val="auto"/>
          <w:sz w:val="24"/>
          <w:szCs w:val="24"/>
          <w:highlight w:val="none"/>
        </w:rPr>
        <w:t>适用法律、法规、规章及规范性文件</w:t>
      </w:r>
    </w:p>
    <w:p w14:paraId="6BE6EBA0">
      <w:pPr>
        <w:pageBreakBefore w:val="0"/>
        <w:widowControl w:val="0"/>
        <w:numPr>
          <w:ilvl w:val="0"/>
          <w:numId w:val="11"/>
        </w:numPr>
        <w:tabs>
          <w:tab w:val="left" w:pos="426"/>
          <w:tab w:val="left" w:pos="644"/>
          <w:tab w:val="left" w:pos="840"/>
        </w:tabs>
        <w:kinsoku/>
        <w:wordWrap/>
        <w:overflowPunct/>
        <w:topLinePunct w:val="0"/>
        <w:bidi w:val="0"/>
        <w:adjustRightInd w:val="0"/>
        <w:spacing w:after="0" w:line="440" w:lineRule="exact"/>
        <w:ind w:left="424" w:hanging="484" w:hangingChars="202"/>
        <w:jc w:val="both"/>
        <w:outlineLvl w:val="1"/>
        <w:rPr>
          <w:rFonts w:ascii="宋体" w:hAnsi="宋体" w:cs="宋体"/>
          <w:color w:val="auto"/>
          <w:sz w:val="24"/>
          <w:szCs w:val="24"/>
          <w:highlight w:val="none"/>
        </w:rPr>
      </w:pPr>
      <w:r>
        <w:rPr>
          <w:rFonts w:hint="eastAsia" w:ascii="宋体" w:hAnsi="宋体" w:cs="宋体"/>
          <w:bCs/>
          <w:color w:val="auto"/>
          <w:sz w:val="24"/>
          <w:szCs w:val="24"/>
          <w:highlight w:val="none"/>
        </w:rPr>
        <w:t>采购当事人的一切活动均</w:t>
      </w:r>
      <w:r>
        <w:rPr>
          <w:rFonts w:hint="eastAsia" w:ascii="宋体" w:hAnsi="宋体" w:cs="宋体"/>
          <w:bCs/>
          <w:color w:val="auto"/>
          <w:sz w:val="24"/>
          <w:szCs w:val="24"/>
          <w:highlight w:val="none"/>
          <w:lang w:val="en-US" w:eastAsia="zh-CN"/>
        </w:rPr>
        <w:t>参照</w:t>
      </w:r>
      <w:r>
        <w:rPr>
          <w:rFonts w:hint="eastAsia" w:ascii="宋体" w:hAnsi="宋体" w:cs="宋体"/>
          <w:bCs/>
          <w:color w:val="auto"/>
          <w:sz w:val="24"/>
          <w:szCs w:val="24"/>
          <w:highlight w:val="none"/>
        </w:rPr>
        <w:t>于</w:t>
      </w:r>
      <w:r>
        <w:rPr>
          <w:rFonts w:hint="eastAsia" w:ascii="宋体" w:hAnsi="宋体" w:cs="宋体"/>
          <w:snapToGrid w:val="0"/>
          <w:color w:val="auto"/>
          <w:sz w:val="24"/>
          <w:szCs w:val="24"/>
          <w:highlight w:val="none"/>
          <w:lang w:val="zh-CN"/>
        </w:rPr>
        <w:t>《中华人民共和国政府采购法》、《中华人民共和国政府采购法实施条例》、《政府采购竞争性磋商采购方式管理暂行办法》及相关法规。</w:t>
      </w:r>
      <w:r>
        <w:rPr>
          <w:rFonts w:hint="eastAsia" w:ascii="宋体" w:hAnsi="宋体" w:cs="宋体"/>
          <w:color w:val="auto"/>
          <w:sz w:val="24"/>
          <w:szCs w:val="24"/>
          <w:highlight w:val="none"/>
        </w:rPr>
        <w:t>采购合同的履行、违约责任和解决争议的方法等适用《中华人民共和国民法典》。</w:t>
      </w:r>
    </w:p>
    <w:p w14:paraId="14EA5655">
      <w:pPr>
        <w:pageBreakBefore w:val="0"/>
        <w:widowControl w:val="0"/>
        <w:numPr>
          <w:ilvl w:val="1"/>
          <w:numId w:val="10"/>
        </w:numPr>
        <w:tabs>
          <w:tab w:val="left" w:pos="540"/>
          <w:tab w:val="left" w:pos="709"/>
          <w:tab w:val="left" w:pos="1080"/>
        </w:tabs>
        <w:kinsoku/>
        <w:wordWrap/>
        <w:overflowPunct/>
        <w:topLinePunct w:val="0"/>
        <w:bidi w:val="0"/>
        <w:adjustRightInd w:val="0"/>
        <w:spacing w:after="0" w:line="440" w:lineRule="exact"/>
        <w:ind w:left="540" w:hanging="540"/>
        <w:jc w:val="both"/>
        <w:outlineLvl w:val="1"/>
        <w:rPr>
          <w:rFonts w:ascii="宋体" w:hAnsi="宋体" w:cs="宋体"/>
          <w:b/>
          <w:color w:val="auto"/>
          <w:sz w:val="24"/>
          <w:szCs w:val="24"/>
          <w:highlight w:val="none"/>
        </w:rPr>
      </w:pPr>
      <w:r>
        <w:rPr>
          <w:rFonts w:hint="eastAsia" w:ascii="宋体" w:hAnsi="宋体" w:cs="宋体"/>
          <w:b/>
          <w:color w:val="auto"/>
          <w:sz w:val="24"/>
          <w:szCs w:val="24"/>
          <w:highlight w:val="none"/>
        </w:rPr>
        <w:t>采购文件的解释权</w:t>
      </w:r>
      <w:bookmarkEnd w:id="115"/>
      <w:bookmarkEnd w:id="116"/>
      <w:bookmarkEnd w:id="117"/>
      <w:bookmarkEnd w:id="118"/>
    </w:p>
    <w:p w14:paraId="7CFEC26F">
      <w:pPr>
        <w:pageBreakBefore w:val="0"/>
        <w:widowControl w:val="0"/>
        <w:numPr>
          <w:ilvl w:val="0"/>
          <w:numId w:val="11"/>
        </w:numPr>
        <w:tabs>
          <w:tab w:val="left" w:pos="426"/>
          <w:tab w:val="left" w:pos="644"/>
          <w:tab w:val="left" w:pos="840"/>
        </w:tabs>
        <w:kinsoku/>
        <w:wordWrap/>
        <w:overflowPunct/>
        <w:topLinePunct w:val="0"/>
        <w:bidi w:val="0"/>
        <w:adjustRightInd w:val="0"/>
        <w:spacing w:after="0" w:line="440" w:lineRule="exact"/>
        <w:ind w:left="424" w:hanging="484" w:hangingChars="202"/>
        <w:jc w:val="both"/>
        <w:outlineLvl w:val="1"/>
        <w:rPr>
          <w:rFonts w:ascii="宋体" w:hAnsi="宋体"/>
          <w:color w:val="auto"/>
          <w:sz w:val="24"/>
          <w:szCs w:val="24"/>
          <w:highlight w:val="none"/>
        </w:rPr>
      </w:pPr>
      <w:r>
        <w:rPr>
          <w:rFonts w:hint="eastAsia" w:ascii="宋体" w:hAnsi="宋体" w:cs="宋体"/>
          <w:snapToGrid w:val="0"/>
          <w:color w:val="auto"/>
          <w:sz w:val="24"/>
          <w:szCs w:val="24"/>
          <w:highlight w:val="none"/>
          <w:lang w:val="zh-CN"/>
        </w:rPr>
        <w:t>本采购文件的最终解释权为采购人</w:t>
      </w:r>
      <w:r>
        <w:rPr>
          <w:rFonts w:hint="eastAsia" w:ascii="宋体" w:hAnsi="宋体" w:cs="宋体"/>
          <w:color w:val="auto"/>
          <w:sz w:val="24"/>
          <w:szCs w:val="24"/>
          <w:highlight w:val="none"/>
        </w:rPr>
        <w:t>、采购代理机构所有。</w:t>
      </w:r>
    </w:p>
    <w:p w14:paraId="54760812">
      <w:pPr>
        <w:spacing w:after="0"/>
        <w:rPr>
          <w:rFonts w:ascii="宋体" w:hAnsi="宋体"/>
          <w:b/>
          <w:bCs/>
          <w:color w:val="auto"/>
          <w:sz w:val="21"/>
          <w:szCs w:val="21"/>
          <w:highlight w:val="none"/>
        </w:rPr>
        <w:sectPr>
          <w:footerReference r:id="rId7" w:type="first"/>
          <w:pgSz w:w="11906" w:h="16838"/>
          <w:pgMar w:top="1440" w:right="1800" w:bottom="1440" w:left="1800" w:header="851" w:footer="178" w:gutter="0"/>
          <w:pgNumType w:start="1"/>
          <w:cols w:space="720" w:num="1"/>
          <w:titlePg/>
          <w:docGrid w:type="lines" w:linePitch="312" w:charSpace="0"/>
        </w:sectPr>
      </w:pPr>
    </w:p>
    <w:p w14:paraId="4F207C2C">
      <w:pPr>
        <w:keepNext/>
        <w:keepLines/>
        <w:adjustRightInd w:val="0"/>
        <w:snapToGrid w:val="0"/>
        <w:spacing w:after="0"/>
        <w:jc w:val="center"/>
        <w:textAlignment w:val="baseline"/>
        <w:outlineLvl w:val="0"/>
        <w:rPr>
          <w:rFonts w:ascii="Cambria" w:hAnsi="Cambria"/>
          <w:b/>
          <w:bCs/>
          <w:color w:val="auto"/>
          <w:sz w:val="30"/>
          <w:szCs w:val="28"/>
          <w:highlight w:val="none"/>
        </w:rPr>
      </w:pPr>
      <w:bookmarkStart w:id="119" w:name="_Toc141260230"/>
      <w:r>
        <w:rPr>
          <w:rFonts w:hint="eastAsia" w:ascii="Cambria" w:hAnsi="Cambria"/>
          <w:b/>
          <w:bCs/>
          <w:color w:val="auto"/>
          <w:sz w:val="30"/>
          <w:szCs w:val="28"/>
          <w:highlight w:val="none"/>
        </w:rPr>
        <w:t>第三章 采购</w:t>
      </w:r>
      <w:bookmarkEnd w:id="41"/>
      <w:bookmarkEnd w:id="42"/>
      <w:r>
        <w:rPr>
          <w:rFonts w:hint="eastAsia" w:ascii="Cambria" w:hAnsi="Cambria"/>
          <w:b/>
          <w:bCs/>
          <w:color w:val="auto"/>
          <w:sz w:val="30"/>
          <w:szCs w:val="28"/>
          <w:highlight w:val="none"/>
        </w:rPr>
        <w:t>需求</w:t>
      </w:r>
      <w:bookmarkEnd w:id="119"/>
    </w:p>
    <w:p w14:paraId="2C487176">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after="0" w:line="440" w:lineRule="exact"/>
        <w:jc w:val="both"/>
        <w:textAlignment w:val="baseline"/>
        <w:outlineLvl w:val="1"/>
        <w:rPr>
          <w:rFonts w:ascii="宋体" w:hAnsi="宋体" w:cs="宋体"/>
          <w:b/>
          <w:color w:val="auto"/>
          <w:sz w:val="24"/>
          <w:szCs w:val="24"/>
          <w:highlight w:val="none"/>
        </w:rPr>
      </w:pPr>
      <w:bookmarkStart w:id="120" w:name="_Toc36738636"/>
      <w:r>
        <w:rPr>
          <w:rFonts w:hint="eastAsia" w:ascii="宋体" w:hAnsi="宋体" w:cs="宋体"/>
          <w:b/>
          <w:color w:val="auto"/>
          <w:sz w:val="24"/>
          <w:szCs w:val="24"/>
          <w:highlight w:val="none"/>
        </w:rPr>
        <w:t>一、</w:t>
      </w:r>
      <w:bookmarkEnd w:id="120"/>
      <w:r>
        <w:rPr>
          <w:rFonts w:hint="eastAsia" w:ascii="宋体" w:hAnsi="宋体" w:cs="宋体"/>
          <w:b/>
          <w:color w:val="auto"/>
          <w:sz w:val="24"/>
          <w:szCs w:val="24"/>
          <w:highlight w:val="none"/>
        </w:rPr>
        <w:t>项目概况</w:t>
      </w:r>
    </w:p>
    <w:p w14:paraId="2C6745E8">
      <w:pPr>
        <w:keepNext w:val="0"/>
        <w:keepLines w:val="0"/>
        <w:pageBreakBefore w:val="0"/>
        <w:tabs>
          <w:tab w:val="center" w:pos="709"/>
          <w:tab w:val="right" w:pos="8306"/>
        </w:tabs>
        <w:kinsoku/>
        <w:wordWrap/>
        <w:overflowPunct/>
        <w:topLinePunct w:val="0"/>
        <w:autoSpaceDE/>
        <w:autoSpaceDN/>
        <w:bidi w:val="0"/>
        <w:adjustRightInd w:val="0"/>
        <w:snapToGrid w:val="0"/>
        <w:spacing w:after="0" w:line="440" w:lineRule="exact"/>
        <w:ind w:firstLine="480" w:firstLineChars="200"/>
        <w:textAlignment w:val="baseline"/>
        <w:rPr>
          <w:rFonts w:hint="eastAsia" w:ascii="宋体" w:hAnsi="宋体" w:cs="宋体"/>
          <w:color w:val="auto"/>
          <w:sz w:val="24"/>
          <w:szCs w:val="24"/>
          <w:highlight w:val="none"/>
        </w:rPr>
      </w:pPr>
      <w:bookmarkStart w:id="121" w:name="_Toc14046"/>
      <w:r>
        <w:rPr>
          <w:rFonts w:hint="eastAsia" w:ascii="宋体" w:hAnsi="宋体" w:cs="宋体"/>
          <w:color w:val="auto"/>
          <w:sz w:val="24"/>
          <w:szCs w:val="24"/>
          <w:highlight w:val="none"/>
        </w:rPr>
        <w:t>1、项目名称：劳务派遣服务采购项目</w:t>
      </w:r>
    </w:p>
    <w:p w14:paraId="1684251A">
      <w:pPr>
        <w:keepNext w:val="0"/>
        <w:keepLines w:val="0"/>
        <w:pageBreakBefore w:val="0"/>
        <w:tabs>
          <w:tab w:val="center" w:pos="709"/>
          <w:tab w:val="right" w:pos="8306"/>
        </w:tabs>
        <w:kinsoku/>
        <w:wordWrap/>
        <w:overflowPunct/>
        <w:topLinePunct w:val="0"/>
        <w:autoSpaceDE/>
        <w:autoSpaceDN/>
        <w:bidi w:val="0"/>
        <w:adjustRightInd w:val="0"/>
        <w:snapToGrid w:val="0"/>
        <w:spacing w:after="0"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2、项目内容：</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与劳务派遣人员签订劳动合同，建立劳动关系，负责为劳务派遣人员办理社会保险和公积金的缴存及转移、工资发放、人事、党团组织关系等相关事宜，以及与武汉市东湖生态旅游风景区自然资源局共同做好劳务派遣人员劳动纠纷及工伤事故处置等工作。</w:t>
      </w:r>
    </w:p>
    <w:p w14:paraId="1022BAA1">
      <w:pPr>
        <w:keepNext w:val="0"/>
        <w:keepLines w:val="0"/>
        <w:pageBreakBefore w:val="0"/>
        <w:tabs>
          <w:tab w:val="center" w:pos="709"/>
          <w:tab w:val="right" w:pos="8306"/>
        </w:tabs>
        <w:kinsoku/>
        <w:wordWrap/>
        <w:overflowPunct/>
        <w:topLinePunct w:val="0"/>
        <w:autoSpaceDE/>
        <w:autoSpaceDN/>
        <w:bidi w:val="0"/>
        <w:adjustRightInd w:val="0"/>
        <w:snapToGrid w:val="0"/>
        <w:spacing w:after="0"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3、项目预算：本项目预算金额为45万元</w:t>
      </w:r>
      <w:r>
        <w:rPr>
          <w:rFonts w:hint="eastAsia" w:ascii="宋体" w:hAnsi="宋体" w:cs="宋体"/>
          <w:color w:val="auto"/>
          <w:sz w:val="24"/>
          <w:szCs w:val="24"/>
          <w:highlight w:val="none"/>
          <w:lang w:val="en-US" w:eastAsia="zh-CN"/>
        </w:rPr>
        <w:t>/年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其中包含</w:t>
      </w:r>
      <w:r>
        <w:rPr>
          <w:rFonts w:hint="eastAsia" w:ascii="宋体" w:hAnsi="宋体" w:cs="宋体"/>
          <w:color w:val="auto"/>
          <w:sz w:val="24"/>
          <w:szCs w:val="24"/>
          <w:highlight w:val="none"/>
        </w:rPr>
        <w:t>人员管理费预算为</w:t>
      </w:r>
      <w:r>
        <w:rPr>
          <w:rFonts w:hint="eastAsia" w:ascii="宋体" w:hAnsi="宋体" w:cs="宋体"/>
          <w:color w:val="auto"/>
          <w:sz w:val="24"/>
          <w:szCs w:val="24"/>
          <w:highlight w:val="none"/>
          <w:lang w:val="en-US" w:eastAsia="zh-CN"/>
        </w:rPr>
        <w:t>100</w:t>
      </w:r>
      <w:r>
        <w:rPr>
          <w:rFonts w:hint="eastAsia" w:ascii="宋体" w:hAnsi="宋体" w:cs="宋体"/>
          <w:color w:val="auto"/>
          <w:sz w:val="24"/>
          <w:szCs w:val="24"/>
          <w:highlight w:val="none"/>
        </w:rPr>
        <w:t>元/人/月。本项目拟聘劳务派遣人员6人。</w:t>
      </w:r>
    </w:p>
    <w:p w14:paraId="5996B81D">
      <w:pPr>
        <w:keepNext w:val="0"/>
        <w:keepLines w:val="0"/>
        <w:pageBreakBefore w:val="0"/>
        <w:tabs>
          <w:tab w:val="center" w:pos="709"/>
          <w:tab w:val="right" w:pos="8306"/>
        </w:tabs>
        <w:kinsoku/>
        <w:wordWrap/>
        <w:overflowPunct/>
        <w:topLinePunct w:val="0"/>
        <w:autoSpaceDE/>
        <w:autoSpaceDN/>
        <w:bidi w:val="0"/>
        <w:adjustRightInd w:val="0"/>
        <w:snapToGrid w:val="0"/>
        <w:spacing w:after="0"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4、投标报价：本项目采用单价报价，</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须对人员管理费单价进行报价。人员管理费单价不得超过</w:t>
      </w:r>
      <w:r>
        <w:rPr>
          <w:rFonts w:hint="eastAsia" w:ascii="宋体" w:hAnsi="宋体" w:cs="宋体"/>
          <w:color w:val="auto"/>
          <w:sz w:val="24"/>
          <w:szCs w:val="24"/>
          <w:highlight w:val="none"/>
          <w:lang w:val="en-US" w:eastAsia="zh-CN"/>
        </w:rPr>
        <w:t>100</w:t>
      </w:r>
      <w:r>
        <w:rPr>
          <w:rFonts w:hint="eastAsia" w:ascii="宋体" w:hAnsi="宋体" w:cs="宋体"/>
          <w:color w:val="auto"/>
          <w:sz w:val="24"/>
          <w:szCs w:val="24"/>
          <w:highlight w:val="none"/>
        </w:rPr>
        <w:t>元/人/月。</w:t>
      </w:r>
    </w:p>
    <w:p w14:paraId="0D3A0F23">
      <w:pPr>
        <w:keepNext w:val="0"/>
        <w:keepLines w:val="0"/>
        <w:pageBreakBefore w:val="0"/>
        <w:tabs>
          <w:tab w:val="center" w:pos="709"/>
          <w:tab w:val="right" w:pos="8306"/>
        </w:tabs>
        <w:kinsoku/>
        <w:wordWrap/>
        <w:overflowPunct/>
        <w:topLinePunct w:val="0"/>
        <w:autoSpaceDE/>
        <w:autoSpaceDN/>
        <w:bidi w:val="0"/>
        <w:adjustRightInd w:val="0"/>
        <w:snapToGrid w:val="0"/>
        <w:spacing w:after="0"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5、服务期：三年。</w:t>
      </w:r>
    </w:p>
    <w:p w14:paraId="5989D6CA">
      <w:pPr>
        <w:keepNext w:val="0"/>
        <w:keepLines w:val="0"/>
        <w:pageBreakBefore w:val="0"/>
        <w:tabs>
          <w:tab w:val="center" w:pos="709"/>
          <w:tab w:val="right" w:pos="8306"/>
        </w:tabs>
        <w:kinsoku/>
        <w:wordWrap/>
        <w:overflowPunct/>
        <w:topLinePunct w:val="0"/>
        <w:autoSpaceDE/>
        <w:autoSpaceDN/>
        <w:bidi w:val="0"/>
        <w:adjustRightInd w:val="0"/>
        <w:snapToGrid w:val="0"/>
        <w:spacing w:after="0"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6、付款方式：合同签订后，按月度据实结算。</w:t>
      </w:r>
    </w:p>
    <w:p w14:paraId="0BAEDE96">
      <w:pPr>
        <w:keepNext w:val="0"/>
        <w:keepLines w:val="0"/>
        <w:pageBreakBefore w:val="0"/>
        <w:tabs>
          <w:tab w:val="center" w:pos="709"/>
          <w:tab w:val="right" w:pos="8306"/>
        </w:tabs>
        <w:kinsoku/>
        <w:wordWrap/>
        <w:overflowPunct/>
        <w:topLinePunct w:val="0"/>
        <w:autoSpaceDE/>
        <w:autoSpaceDN/>
        <w:bidi w:val="0"/>
        <w:adjustRightInd w:val="0"/>
        <w:snapToGrid w:val="0"/>
        <w:spacing w:after="0"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服务地点：采购人指定地点。</w:t>
      </w:r>
    </w:p>
    <w:p w14:paraId="2C5A48B6">
      <w:pPr>
        <w:keepNext w:val="0"/>
        <w:keepLines w:val="0"/>
        <w:pageBreakBefore w:val="0"/>
        <w:tabs>
          <w:tab w:val="center" w:pos="709"/>
          <w:tab w:val="right" w:pos="8306"/>
        </w:tabs>
        <w:kinsoku/>
        <w:wordWrap/>
        <w:overflowPunct/>
        <w:topLinePunct w:val="0"/>
        <w:autoSpaceDE/>
        <w:autoSpaceDN/>
        <w:bidi w:val="0"/>
        <w:adjustRightInd w:val="0"/>
        <w:snapToGrid w:val="0"/>
        <w:spacing w:after="0" w:line="440" w:lineRule="exact"/>
        <w:ind w:firstLine="480" w:firstLineChars="200"/>
        <w:textAlignment w:val="baseline"/>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lang w:val="en-US" w:eastAsia="zh-CN"/>
        </w:rPr>
        <w:t>8、报价要求；本项目总预算金额45万元/年，其中派遣人员工资、社保、补助、福利等所有费用为固定费用，此部分暂定为442800元。人员管理费按</w:t>
      </w:r>
      <w:r>
        <w:rPr>
          <w:rFonts w:hint="eastAsia" w:ascii="宋体" w:hAnsi="宋体" w:cs="宋体"/>
          <w:color w:val="auto"/>
          <w:sz w:val="24"/>
          <w:szCs w:val="24"/>
          <w:highlight w:val="none"/>
          <w:u w:val="single"/>
          <w:lang w:val="en-US" w:eastAsia="zh-CN"/>
        </w:rPr>
        <w:t xml:space="preserve">   元</w:t>
      </w:r>
      <w:r>
        <w:rPr>
          <w:rFonts w:hint="eastAsia" w:ascii="宋体" w:hAnsi="宋体" w:cs="宋体"/>
          <w:color w:val="auto"/>
          <w:sz w:val="24"/>
          <w:szCs w:val="24"/>
          <w:highlight w:val="none"/>
          <w:lang w:val="en-US" w:eastAsia="zh-CN"/>
        </w:rPr>
        <w:t>/人/月进行报价，最高限价为</w:t>
      </w:r>
      <w:r>
        <w:rPr>
          <w:rFonts w:hint="eastAsia" w:ascii="宋体" w:hAnsi="宋体" w:cs="宋体"/>
          <w:color w:val="auto"/>
          <w:sz w:val="24"/>
          <w:szCs w:val="24"/>
          <w:highlight w:val="none"/>
          <w:u w:val="none"/>
          <w:lang w:val="en-US" w:eastAsia="zh-CN"/>
        </w:rPr>
        <w:t>100元/人/月，此部分为竞争报价。</w:t>
      </w:r>
    </w:p>
    <w:p w14:paraId="4E9DD744">
      <w:pPr>
        <w:keepNext w:val="0"/>
        <w:keepLines w:val="0"/>
        <w:pageBreakBefore w:val="0"/>
        <w:tabs>
          <w:tab w:val="center" w:pos="4153"/>
          <w:tab w:val="right" w:pos="8306"/>
        </w:tabs>
        <w:kinsoku/>
        <w:wordWrap/>
        <w:overflowPunct/>
        <w:topLinePunct w:val="0"/>
        <w:autoSpaceDE/>
        <w:autoSpaceDN/>
        <w:bidi w:val="0"/>
        <w:adjustRightInd w:val="0"/>
        <w:snapToGrid w:val="0"/>
        <w:spacing w:after="0" w:line="440" w:lineRule="exact"/>
        <w:textAlignment w:val="baseline"/>
        <w:outlineLvl w:val="1"/>
        <w:rPr>
          <w:rFonts w:ascii="宋体" w:hAnsi="宋体" w:cs="宋体"/>
          <w:b/>
          <w:color w:val="auto"/>
          <w:sz w:val="24"/>
          <w:szCs w:val="24"/>
          <w:highlight w:val="none"/>
        </w:rPr>
      </w:pPr>
      <w:bookmarkStart w:id="122" w:name="_Toc36738637"/>
      <w:r>
        <w:rPr>
          <w:rFonts w:hint="eastAsia" w:ascii="宋体" w:hAnsi="宋体" w:cs="宋体"/>
          <w:b/>
          <w:color w:val="auto"/>
          <w:sz w:val="24"/>
          <w:szCs w:val="24"/>
          <w:highlight w:val="none"/>
        </w:rPr>
        <w:t>二、</w:t>
      </w:r>
      <w:bookmarkEnd w:id="122"/>
      <w:r>
        <w:rPr>
          <w:rFonts w:hint="eastAsia" w:ascii="宋体" w:hAnsi="宋体" w:cs="宋体"/>
          <w:b/>
          <w:color w:val="auto"/>
          <w:sz w:val="24"/>
          <w:szCs w:val="24"/>
          <w:highlight w:val="none"/>
        </w:rPr>
        <w:t>服务内容及要求</w:t>
      </w:r>
    </w:p>
    <w:p w14:paraId="1FB068DF">
      <w:pPr>
        <w:keepNext w:val="0"/>
        <w:keepLines w:val="0"/>
        <w:pageBreakBefore w:val="0"/>
        <w:widowControl/>
        <w:numPr>
          <w:ilvl w:val="0"/>
          <w:numId w:val="0"/>
        </w:numPr>
        <w:tabs>
          <w:tab w:val="left" w:pos="0"/>
        </w:tabs>
        <w:kinsoku/>
        <w:wordWrap/>
        <w:overflowPunct/>
        <w:topLinePunct w:val="0"/>
        <w:autoSpaceDE/>
        <w:autoSpaceDN/>
        <w:bidi w:val="0"/>
        <w:spacing w:after="0" w:line="440" w:lineRule="exact"/>
        <w:ind w:firstLine="482" w:firstLineChars="200"/>
        <w:contextualSpacing/>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lang w:val="en-US" w:eastAsia="zh-CN"/>
        </w:rPr>
        <w:t>1.服务需求</w:t>
      </w:r>
    </w:p>
    <w:p w14:paraId="79F50A18">
      <w:pPr>
        <w:keepNext w:val="0"/>
        <w:keepLines w:val="0"/>
        <w:pageBreakBefore w:val="0"/>
        <w:widowControl/>
        <w:tabs>
          <w:tab w:val="left" w:pos="0"/>
        </w:tabs>
        <w:kinsoku/>
        <w:wordWrap/>
        <w:overflowPunct/>
        <w:topLinePunct w:val="0"/>
        <w:autoSpaceDE/>
        <w:autoSpaceDN/>
        <w:bidi w:val="0"/>
        <w:spacing w:after="0" w:line="440" w:lineRule="exact"/>
        <w:ind w:left="0" w:leftChars="0" w:firstLine="420" w:firstLineChars="175"/>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w:t>
      </w:r>
      <w:r>
        <w:rPr>
          <w:rFonts w:hint="eastAsia" w:ascii="宋体" w:hAnsi="宋体" w:eastAsia="宋体" w:cs="宋体"/>
          <w:color w:val="auto"/>
          <w:kern w:val="0"/>
          <w:sz w:val="24"/>
          <w:highlight w:val="none"/>
          <w:lang w:val="en-US" w:eastAsia="zh-CN"/>
        </w:rPr>
        <w:t>劳务派遣</w:t>
      </w:r>
      <w:r>
        <w:rPr>
          <w:rFonts w:hint="eastAsia" w:ascii="宋体" w:hAnsi="宋体" w:eastAsia="宋体" w:cs="宋体"/>
          <w:color w:val="auto"/>
          <w:kern w:val="0"/>
          <w:sz w:val="24"/>
          <w:highlight w:val="none"/>
        </w:rPr>
        <w:t>方式配备</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人：</w:t>
      </w:r>
      <w:r>
        <w:rPr>
          <w:rFonts w:hint="eastAsia" w:ascii="宋体" w:hAnsi="宋体" w:eastAsia="宋体" w:cs="宋体"/>
          <w:color w:val="auto"/>
          <w:kern w:val="0"/>
          <w:sz w:val="24"/>
          <w:highlight w:val="none"/>
          <w:lang w:eastAsia="zh-CN"/>
        </w:rPr>
        <w:t>行政服务人员</w:t>
      </w:r>
      <w:r>
        <w:rPr>
          <w:rFonts w:hint="eastAsia" w:ascii="宋体" w:hAnsi="宋体" w:eastAsia="宋体" w:cs="宋体"/>
          <w:color w:val="auto"/>
          <w:kern w:val="0"/>
          <w:sz w:val="24"/>
          <w:highlight w:val="none"/>
          <w:lang w:val="en-US" w:eastAsia="zh-CN"/>
        </w:rPr>
        <w:t>3名，财务人员1名，公车司机1名，综合服务人员1名。</w:t>
      </w:r>
    </w:p>
    <w:p w14:paraId="4DBB9EBB">
      <w:pPr>
        <w:pStyle w:val="35"/>
        <w:keepNext w:val="0"/>
        <w:keepLines w:val="0"/>
        <w:pageBreakBefore w:val="0"/>
        <w:widowControl/>
        <w:numPr>
          <w:ilvl w:val="0"/>
          <w:numId w:val="0"/>
        </w:numPr>
        <w:kinsoku/>
        <w:wordWrap/>
        <w:overflowPunct/>
        <w:topLinePunct w:val="0"/>
        <w:autoSpaceDE/>
        <w:autoSpaceDN/>
        <w:bidi w:val="0"/>
        <w:spacing w:after="0" w:line="440" w:lineRule="exact"/>
        <w:ind w:leftChars="0" w:firstLine="482" w:firstLineChars="20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2.服务内容</w:t>
      </w:r>
    </w:p>
    <w:p w14:paraId="7940AA89">
      <w:pPr>
        <w:keepNext w:val="0"/>
        <w:keepLines w:val="0"/>
        <w:pageBreakBefore w:val="0"/>
        <w:widowControl/>
        <w:tabs>
          <w:tab w:val="left" w:pos="0"/>
        </w:tabs>
        <w:kinsoku/>
        <w:wordWrap/>
        <w:overflowPunct/>
        <w:topLinePunct w:val="0"/>
        <w:autoSpaceDE/>
        <w:autoSpaceDN/>
        <w:bidi w:val="0"/>
        <w:spacing w:after="0" w:line="440" w:lineRule="exact"/>
        <w:ind w:left="0" w:leftChars="0" w:firstLine="420" w:firstLineChars="175"/>
        <w:contextualSpacing/>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1）成交供应商为采购人提供劳务派遣服务，按照采购方岗位、人数等需求提供相应劳务派遣人员完成工作。</w:t>
      </w:r>
    </w:p>
    <w:p w14:paraId="382C4328">
      <w:pPr>
        <w:keepNext w:val="0"/>
        <w:keepLines w:val="0"/>
        <w:pageBreakBefore w:val="0"/>
        <w:widowControl/>
        <w:tabs>
          <w:tab w:val="left" w:pos="0"/>
        </w:tabs>
        <w:kinsoku/>
        <w:wordWrap/>
        <w:overflowPunct/>
        <w:topLinePunct w:val="0"/>
        <w:autoSpaceDE/>
        <w:autoSpaceDN/>
        <w:bidi w:val="0"/>
        <w:spacing w:after="0" w:line="440" w:lineRule="exact"/>
        <w:ind w:left="0" w:leftChars="0" w:firstLine="420" w:firstLineChars="175"/>
        <w:contextualSpacing/>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成交供应商负责所有劳务派遣人员的人事劳资、社会保险、党团组织关系、档案管理等服务，及时、准确、妥善办理派遣员工录用、合同签订、考核、解聘、辞退、档案整理等事宜，并建立派遣人员人事信息档案，向采购人提供派遣人员花名册。</w:t>
      </w:r>
    </w:p>
    <w:p w14:paraId="05CBFB81">
      <w:pPr>
        <w:keepNext w:val="0"/>
        <w:keepLines w:val="0"/>
        <w:pageBreakBefore w:val="0"/>
        <w:widowControl/>
        <w:numPr>
          <w:ilvl w:val="0"/>
          <w:numId w:val="0"/>
        </w:numPr>
        <w:tabs>
          <w:tab w:val="center" w:pos="709"/>
          <w:tab w:val="right" w:pos="8306"/>
        </w:tabs>
        <w:kinsoku/>
        <w:wordWrap/>
        <w:overflowPunct/>
        <w:topLinePunct w:val="0"/>
        <w:autoSpaceDE/>
        <w:autoSpaceDN/>
        <w:bidi w:val="0"/>
        <w:adjustRightInd w:val="0"/>
        <w:snapToGrid w:val="0"/>
        <w:spacing w:after="0" w:line="440" w:lineRule="exact"/>
        <w:ind w:firstLine="480" w:firstLineChars="200"/>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成交供应商为采购人提供劳动人事、社会保障各项政策咨询，及时传达最新法规和动态信息。为采购人提供专业的法律服务，负责处理合同期内派遣员工相关劳务劳动纠纷、诉讼、仲裁等事宜。提供劳务纠纷处理方案。</w:t>
      </w:r>
    </w:p>
    <w:p w14:paraId="73E4DE2E">
      <w:pPr>
        <w:keepNext w:val="0"/>
        <w:keepLines w:val="0"/>
        <w:pageBreakBefore w:val="0"/>
        <w:widowControl/>
        <w:numPr>
          <w:ilvl w:val="0"/>
          <w:numId w:val="0"/>
        </w:numPr>
        <w:tabs>
          <w:tab w:val="center" w:pos="709"/>
          <w:tab w:val="right" w:pos="8306"/>
        </w:tabs>
        <w:kinsoku/>
        <w:wordWrap/>
        <w:overflowPunct/>
        <w:topLinePunct w:val="0"/>
        <w:autoSpaceDE/>
        <w:autoSpaceDN/>
        <w:bidi w:val="0"/>
        <w:adjustRightInd w:val="0"/>
        <w:snapToGrid w:val="0"/>
        <w:spacing w:after="0" w:line="440" w:lineRule="exact"/>
        <w:ind w:firstLine="480" w:firstLineChars="200"/>
        <w:textAlignment w:val="baseline"/>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4）提供其他增值服务。</w:t>
      </w:r>
    </w:p>
    <w:p w14:paraId="48E38F9D">
      <w:pPr>
        <w:keepNext w:val="0"/>
        <w:keepLines w:val="0"/>
        <w:pageBreakBefore w:val="0"/>
        <w:widowControl/>
        <w:numPr>
          <w:ilvl w:val="0"/>
          <w:numId w:val="0"/>
        </w:numPr>
        <w:tabs>
          <w:tab w:val="center" w:pos="709"/>
          <w:tab w:val="right" w:pos="8306"/>
        </w:tabs>
        <w:kinsoku/>
        <w:wordWrap/>
        <w:overflowPunct/>
        <w:topLinePunct w:val="0"/>
        <w:autoSpaceDE/>
        <w:autoSpaceDN/>
        <w:bidi w:val="0"/>
        <w:adjustRightInd w:val="0"/>
        <w:snapToGrid w:val="0"/>
        <w:spacing w:after="0" w:line="440" w:lineRule="exact"/>
        <w:textAlignment w:val="baseline"/>
        <w:outlineLvl w:val="1"/>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三、</w:t>
      </w:r>
      <w:r>
        <w:rPr>
          <w:rFonts w:hint="eastAsia" w:ascii="宋体" w:hAnsi="宋体" w:cs="宋体"/>
          <w:b/>
          <w:bCs/>
          <w:color w:val="auto"/>
          <w:kern w:val="0"/>
          <w:sz w:val="24"/>
          <w:highlight w:val="none"/>
          <w:lang w:val="en-US" w:eastAsia="zh-CN"/>
        </w:rPr>
        <w:t>供应商</w:t>
      </w:r>
      <w:r>
        <w:rPr>
          <w:rFonts w:hint="eastAsia" w:ascii="宋体" w:hAnsi="宋体" w:eastAsia="宋体" w:cs="宋体"/>
          <w:b/>
          <w:bCs/>
          <w:color w:val="auto"/>
          <w:kern w:val="0"/>
          <w:sz w:val="24"/>
          <w:highlight w:val="none"/>
          <w:lang w:val="en-US" w:eastAsia="zh-CN"/>
        </w:rPr>
        <w:t>要求</w:t>
      </w:r>
    </w:p>
    <w:p w14:paraId="2A0AB735">
      <w:pPr>
        <w:keepNext w:val="0"/>
        <w:keepLines w:val="0"/>
        <w:pageBreakBefore w:val="0"/>
        <w:widowControl/>
        <w:numPr>
          <w:ilvl w:val="0"/>
          <w:numId w:val="0"/>
        </w:numPr>
        <w:tabs>
          <w:tab w:val="center" w:pos="709"/>
          <w:tab w:val="right" w:pos="8306"/>
        </w:tabs>
        <w:kinsoku/>
        <w:wordWrap/>
        <w:overflowPunct/>
        <w:topLinePunct w:val="0"/>
        <w:autoSpaceDE/>
        <w:autoSpaceDN/>
        <w:bidi w:val="0"/>
        <w:adjustRightInd w:val="0"/>
        <w:snapToGrid w:val="0"/>
        <w:spacing w:after="0" w:line="440" w:lineRule="exact"/>
        <w:ind w:firstLine="480" w:firstLineChars="200"/>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1.劳务派遣员工的劳动报酬、社会保险、公积金等由采购人据实支付。合同履行过程中劳务派遣人员数量发生变化的，将据实结算劳务派遣人员的工资、五险一金、</w:t>
      </w:r>
      <w:r>
        <w:rPr>
          <w:rFonts w:hint="eastAsia" w:ascii="宋体" w:hAnsi="宋体" w:cs="宋体"/>
          <w:color w:val="auto"/>
          <w:kern w:val="0"/>
          <w:sz w:val="24"/>
          <w:highlight w:val="none"/>
          <w:lang w:val="en-US" w:eastAsia="zh-CN"/>
        </w:rPr>
        <w:t>伙食费</w:t>
      </w:r>
      <w:r>
        <w:rPr>
          <w:rFonts w:hint="eastAsia" w:ascii="宋体" w:hAnsi="宋体" w:eastAsia="宋体" w:cs="宋体"/>
          <w:color w:val="auto"/>
          <w:kern w:val="0"/>
          <w:sz w:val="24"/>
          <w:highlight w:val="none"/>
          <w:lang w:val="en-US" w:eastAsia="zh-CN"/>
        </w:rPr>
        <w:t>及其他费用。</w:t>
      </w:r>
    </w:p>
    <w:p w14:paraId="05F9941D">
      <w:pPr>
        <w:keepNext w:val="0"/>
        <w:keepLines w:val="0"/>
        <w:pageBreakBefore w:val="0"/>
        <w:widowControl/>
        <w:numPr>
          <w:ilvl w:val="0"/>
          <w:numId w:val="0"/>
        </w:numPr>
        <w:tabs>
          <w:tab w:val="center" w:pos="709"/>
          <w:tab w:val="right" w:pos="8306"/>
        </w:tabs>
        <w:kinsoku/>
        <w:wordWrap/>
        <w:overflowPunct/>
        <w:topLinePunct w:val="0"/>
        <w:autoSpaceDE/>
        <w:autoSpaceDN/>
        <w:bidi w:val="0"/>
        <w:adjustRightInd w:val="0"/>
        <w:snapToGrid w:val="0"/>
        <w:spacing w:after="0" w:line="440" w:lineRule="exact"/>
        <w:ind w:firstLine="480" w:firstLineChars="200"/>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2.供应商一旦成交，无条件服从采购人关于工资、福利、绩效的分配方案，协助采购人开展岗位分级管理、绩效考核及</w:t>
      </w:r>
      <w:r>
        <w:rPr>
          <w:rFonts w:hint="eastAsia" w:ascii="宋体" w:hAnsi="宋体" w:cs="宋体"/>
          <w:color w:val="auto"/>
          <w:kern w:val="0"/>
          <w:sz w:val="24"/>
          <w:highlight w:val="none"/>
          <w:lang w:val="en-US" w:eastAsia="zh-CN"/>
        </w:rPr>
        <w:t>伙食费</w:t>
      </w:r>
      <w:r>
        <w:rPr>
          <w:rFonts w:hint="eastAsia" w:ascii="宋体" w:hAnsi="宋体" w:eastAsia="宋体" w:cs="宋体"/>
          <w:color w:val="auto"/>
          <w:kern w:val="0"/>
          <w:sz w:val="24"/>
          <w:highlight w:val="none"/>
          <w:lang w:val="en-US" w:eastAsia="zh-CN"/>
        </w:rPr>
        <w:t>支付工作。</w:t>
      </w:r>
    </w:p>
    <w:p w14:paraId="4AFAD3D8">
      <w:pPr>
        <w:keepNext w:val="0"/>
        <w:keepLines w:val="0"/>
        <w:pageBreakBefore w:val="0"/>
        <w:widowControl/>
        <w:numPr>
          <w:ilvl w:val="0"/>
          <w:numId w:val="0"/>
        </w:numPr>
        <w:tabs>
          <w:tab w:val="center" w:pos="709"/>
          <w:tab w:val="right" w:pos="8306"/>
        </w:tabs>
        <w:kinsoku/>
        <w:wordWrap/>
        <w:overflowPunct/>
        <w:topLinePunct w:val="0"/>
        <w:autoSpaceDE/>
        <w:autoSpaceDN/>
        <w:bidi w:val="0"/>
        <w:adjustRightInd w:val="0"/>
        <w:snapToGrid w:val="0"/>
        <w:spacing w:after="0" w:line="440" w:lineRule="exact"/>
        <w:ind w:firstLine="480" w:firstLineChars="200"/>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3.供应商应具备丰富的人才储备，供应商所派遣的人员必须经过自身的严格把关，所派遣的人员常驻用人单位，供应商应严格按照劳动法及其他相关法律政策的规定，保障其劳动者权利及其他相关职责。</w:t>
      </w:r>
    </w:p>
    <w:p w14:paraId="04B63CD0">
      <w:pPr>
        <w:keepNext w:val="0"/>
        <w:keepLines w:val="0"/>
        <w:pageBreakBefore w:val="0"/>
        <w:widowControl/>
        <w:numPr>
          <w:ilvl w:val="0"/>
          <w:numId w:val="0"/>
        </w:numPr>
        <w:tabs>
          <w:tab w:val="center" w:pos="709"/>
          <w:tab w:val="right" w:pos="8306"/>
        </w:tabs>
        <w:kinsoku/>
        <w:wordWrap/>
        <w:overflowPunct/>
        <w:topLinePunct w:val="0"/>
        <w:autoSpaceDE/>
        <w:autoSpaceDN/>
        <w:bidi w:val="0"/>
        <w:adjustRightInd w:val="0"/>
        <w:snapToGrid w:val="0"/>
        <w:spacing w:after="0" w:line="440" w:lineRule="exact"/>
        <w:ind w:firstLine="480" w:firstLineChars="200"/>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4.供应商应有专门从事劳务纠纷、劳动仲裁方面资质的法律顾问，能及时提供专业意见，规避风险，出现劳务纠纷由投标人负责妥善处理。采购人不负责处理相关事宜。</w:t>
      </w:r>
    </w:p>
    <w:p w14:paraId="4F43A22B">
      <w:pPr>
        <w:keepNext w:val="0"/>
        <w:keepLines w:val="0"/>
        <w:pageBreakBefore w:val="0"/>
        <w:widowControl/>
        <w:numPr>
          <w:ilvl w:val="0"/>
          <w:numId w:val="0"/>
        </w:numPr>
        <w:tabs>
          <w:tab w:val="center" w:pos="709"/>
          <w:tab w:val="right" w:pos="8306"/>
        </w:tabs>
        <w:kinsoku/>
        <w:wordWrap/>
        <w:overflowPunct/>
        <w:topLinePunct w:val="0"/>
        <w:autoSpaceDE/>
        <w:autoSpaceDN/>
        <w:bidi w:val="0"/>
        <w:adjustRightInd w:val="0"/>
        <w:snapToGrid w:val="0"/>
        <w:spacing w:after="0" w:line="440" w:lineRule="exact"/>
        <w:ind w:firstLine="480" w:firstLineChars="200"/>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5.供应商如出现下列情况之一的，采购人有权解除与供应商的合同：</w:t>
      </w:r>
    </w:p>
    <w:p w14:paraId="59294B11">
      <w:pPr>
        <w:keepNext w:val="0"/>
        <w:keepLines w:val="0"/>
        <w:pageBreakBefore w:val="0"/>
        <w:widowControl/>
        <w:numPr>
          <w:ilvl w:val="0"/>
          <w:numId w:val="0"/>
        </w:numPr>
        <w:tabs>
          <w:tab w:val="center" w:pos="709"/>
          <w:tab w:val="right" w:pos="8306"/>
        </w:tabs>
        <w:kinsoku/>
        <w:wordWrap/>
        <w:overflowPunct/>
        <w:topLinePunct w:val="0"/>
        <w:autoSpaceDE/>
        <w:autoSpaceDN/>
        <w:bidi w:val="0"/>
        <w:adjustRightInd w:val="0"/>
        <w:snapToGrid w:val="0"/>
        <w:spacing w:after="0" w:line="440" w:lineRule="exact"/>
        <w:ind w:firstLine="480" w:firstLineChars="200"/>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（1）采购人有权对供应商发放、缴纳外包人员的各项工资、福利、待遇情况进行监管，发现有未按要求足额发放的或接到外包人员投拆经核查属实的；</w:t>
      </w:r>
    </w:p>
    <w:p w14:paraId="400C12B2">
      <w:pPr>
        <w:keepNext w:val="0"/>
        <w:keepLines w:val="0"/>
        <w:pageBreakBefore w:val="0"/>
        <w:widowControl/>
        <w:numPr>
          <w:ilvl w:val="0"/>
          <w:numId w:val="0"/>
        </w:numPr>
        <w:tabs>
          <w:tab w:val="center" w:pos="709"/>
          <w:tab w:val="right" w:pos="8306"/>
        </w:tabs>
        <w:kinsoku/>
        <w:wordWrap/>
        <w:overflowPunct/>
        <w:topLinePunct w:val="0"/>
        <w:autoSpaceDE/>
        <w:autoSpaceDN/>
        <w:bidi w:val="0"/>
        <w:adjustRightInd w:val="0"/>
        <w:snapToGrid w:val="0"/>
        <w:spacing w:after="0" w:line="440" w:lineRule="exact"/>
        <w:ind w:firstLine="480" w:firstLineChars="200"/>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（2）在管理过程中，发现供应商转包的；</w:t>
      </w:r>
    </w:p>
    <w:p w14:paraId="00B9ED46">
      <w:pPr>
        <w:keepNext w:val="0"/>
        <w:keepLines w:val="0"/>
        <w:pageBreakBefore w:val="0"/>
        <w:widowControl/>
        <w:numPr>
          <w:ilvl w:val="0"/>
          <w:numId w:val="0"/>
        </w:numPr>
        <w:tabs>
          <w:tab w:val="center" w:pos="709"/>
          <w:tab w:val="right" w:pos="8306"/>
        </w:tabs>
        <w:kinsoku/>
        <w:wordWrap/>
        <w:overflowPunct/>
        <w:topLinePunct w:val="0"/>
        <w:autoSpaceDE/>
        <w:autoSpaceDN/>
        <w:bidi w:val="0"/>
        <w:adjustRightInd w:val="0"/>
        <w:snapToGrid w:val="0"/>
        <w:spacing w:after="0" w:line="440" w:lineRule="exact"/>
        <w:ind w:firstLine="480" w:firstLineChars="200"/>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（3）因供应商的原因造成工作上重大投诉，带来较大负面影响；</w:t>
      </w:r>
    </w:p>
    <w:p w14:paraId="679A2F6E">
      <w:pPr>
        <w:keepNext w:val="0"/>
        <w:keepLines w:val="0"/>
        <w:pageBreakBefore w:val="0"/>
        <w:widowControl/>
        <w:numPr>
          <w:ilvl w:val="0"/>
          <w:numId w:val="0"/>
        </w:numPr>
        <w:tabs>
          <w:tab w:val="center" w:pos="709"/>
          <w:tab w:val="right" w:pos="8306"/>
        </w:tabs>
        <w:kinsoku/>
        <w:wordWrap/>
        <w:overflowPunct/>
        <w:topLinePunct w:val="0"/>
        <w:autoSpaceDE/>
        <w:autoSpaceDN/>
        <w:bidi w:val="0"/>
        <w:adjustRightInd w:val="0"/>
        <w:snapToGrid w:val="0"/>
        <w:spacing w:after="0" w:line="440" w:lineRule="exact"/>
        <w:ind w:firstLine="480" w:firstLineChars="200"/>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（4）供应商不服从管理且态度恶劣的。</w:t>
      </w:r>
    </w:p>
    <w:p w14:paraId="1A675DD4">
      <w:pPr>
        <w:keepNext w:val="0"/>
        <w:keepLines w:val="0"/>
        <w:pageBreakBefore w:val="0"/>
        <w:widowControl/>
        <w:numPr>
          <w:ilvl w:val="0"/>
          <w:numId w:val="0"/>
        </w:numPr>
        <w:tabs>
          <w:tab w:val="center" w:pos="709"/>
          <w:tab w:val="right" w:pos="8306"/>
        </w:tabs>
        <w:kinsoku/>
        <w:wordWrap/>
        <w:overflowPunct/>
        <w:topLinePunct w:val="0"/>
        <w:autoSpaceDE/>
        <w:autoSpaceDN/>
        <w:bidi w:val="0"/>
        <w:adjustRightInd w:val="0"/>
        <w:snapToGrid w:val="0"/>
        <w:spacing w:after="0" w:line="440" w:lineRule="exact"/>
        <w:ind w:firstLine="480" w:firstLineChars="200"/>
        <w:textAlignment w:val="baseline"/>
        <w:rPr>
          <w:rFonts w:hint="default" w:ascii="宋体" w:hAnsi="宋体" w:eastAsia="宋体" w:cs="宋体"/>
          <w:color w:val="auto"/>
          <w:kern w:val="0"/>
          <w:sz w:val="24"/>
          <w:highlight w:val="none"/>
          <w:lang w:val="en-US" w:eastAsia="zh-CN"/>
        </w:rPr>
      </w:pPr>
    </w:p>
    <w:p w14:paraId="7D7C3457">
      <w:pPr>
        <w:spacing w:after="0" w:line="240" w:lineRule="auto"/>
        <w:rPr>
          <w:rFonts w:ascii="Cambria" w:hAnsi="Cambria"/>
          <w:b/>
          <w:bCs/>
          <w:color w:val="auto"/>
          <w:sz w:val="30"/>
          <w:szCs w:val="28"/>
          <w:highlight w:val="none"/>
        </w:rPr>
      </w:pPr>
      <w:r>
        <w:rPr>
          <w:rFonts w:ascii="Cambria" w:hAnsi="Cambria"/>
          <w:b/>
          <w:bCs/>
          <w:color w:val="auto"/>
          <w:sz w:val="30"/>
          <w:szCs w:val="28"/>
          <w:highlight w:val="none"/>
        </w:rPr>
        <w:br w:type="page"/>
      </w:r>
    </w:p>
    <w:p w14:paraId="20F0DB74">
      <w:pPr>
        <w:keepNext/>
        <w:keepLines/>
        <w:adjustRightInd w:val="0"/>
        <w:snapToGrid w:val="0"/>
        <w:spacing w:after="0"/>
        <w:jc w:val="center"/>
        <w:textAlignment w:val="baseline"/>
        <w:outlineLvl w:val="0"/>
        <w:rPr>
          <w:rFonts w:ascii="Cambria" w:hAnsi="Cambria"/>
          <w:b/>
          <w:bCs/>
          <w:color w:val="auto"/>
          <w:sz w:val="30"/>
          <w:szCs w:val="28"/>
          <w:highlight w:val="none"/>
        </w:rPr>
      </w:pPr>
      <w:bookmarkStart w:id="123" w:name="_Toc141260231"/>
      <w:r>
        <w:rPr>
          <w:rFonts w:hint="eastAsia" w:ascii="Cambria" w:hAnsi="Cambria"/>
          <w:b/>
          <w:bCs/>
          <w:color w:val="auto"/>
          <w:sz w:val="30"/>
          <w:szCs w:val="28"/>
          <w:highlight w:val="none"/>
        </w:rPr>
        <w:t>第四章</w:t>
      </w:r>
      <w:r>
        <w:rPr>
          <w:rFonts w:ascii="Cambria" w:hAnsi="Cambria"/>
          <w:b/>
          <w:bCs/>
          <w:color w:val="auto"/>
          <w:sz w:val="30"/>
          <w:szCs w:val="28"/>
          <w:highlight w:val="none"/>
        </w:rPr>
        <w:t xml:space="preserve"> </w:t>
      </w:r>
      <w:r>
        <w:rPr>
          <w:rFonts w:hint="eastAsia" w:ascii="Cambria" w:hAnsi="Cambria"/>
          <w:b/>
          <w:bCs/>
          <w:color w:val="auto"/>
          <w:sz w:val="30"/>
          <w:szCs w:val="28"/>
          <w:highlight w:val="none"/>
        </w:rPr>
        <w:t>评审办法及评分标准</w:t>
      </w:r>
      <w:bookmarkEnd w:id="121"/>
      <w:bookmarkEnd w:id="123"/>
    </w:p>
    <w:p w14:paraId="531FAFB4">
      <w:pPr>
        <w:keepNext w:val="0"/>
        <w:keepLines w:val="0"/>
        <w:pageBreakBefore w:val="0"/>
        <w:suppressAutoHyphens/>
        <w:wordWrap/>
        <w:topLinePunct w:val="0"/>
        <w:autoSpaceDE/>
        <w:autoSpaceDN/>
        <w:bidi w:val="0"/>
        <w:snapToGrid w:val="0"/>
        <w:spacing w:after="0" w:line="440" w:lineRule="exact"/>
        <w:ind w:firstLine="470" w:firstLineChars="196"/>
        <w:textAlignment w:val="auto"/>
        <w:rPr>
          <w:rFonts w:ascii="宋体" w:hAnsi="宋体"/>
          <w:bCs/>
          <w:color w:val="auto"/>
          <w:kern w:val="2"/>
          <w:sz w:val="24"/>
          <w:szCs w:val="24"/>
          <w:highlight w:val="none"/>
        </w:rPr>
      </w:pPr>
      <w:r>
        <w:rPr>
          <w:rFonts w:hint="eastAsia" w:ascii="宋体" w:hAnsi="宋体"/>
          <w:bCs/>
          <w:color w:val="auto"/>
          <w:kern w:val="2"/>
          <w:sz w:val="24"/>
          <w:szCs w:val="24"/>
          <w:highlight w:val="none"/>
        </w:rPr>
        <w:t>根据《中华人民共和国政府采购法》、《中华人民共和国政府采购法实施条例》、《政府采购竞争性磋商采购方式管理暂行办法》等有关法律、法规和规章的规定，确定以下评审方法、步骤及标准。</w:t>
      </w:r>
    </w:p>
    <w:p w14:paraId="01A47FEF">
      <w:pPr>
        <w:pStyle w:val="99"/>
        <w:keepNext w:val="0"/>
        <w:keepLines w:val="0"/>
        <w:pageBreakBefore w:val="0"/>
        <w:numPr>
          <w:ilvl w:val="0"/>
          <w:numId w:val="48"/>
        </w:numPr>
        <w:tabs>
          <w:tab w:val="left" w:pos="426"/>
          <w:tab w:val="left" w:pos="567"/>
        </w:tabs>
        <w:wordWrap/>
        <w:topLinePunct w:val="0"/>
        <w:autoSpaceDE/>
        <w:autoSpaceDN/>
        <w:bidi w:val="0"/>
        <w:adjustRightInd w:val="0"/>
        <w:snapToGrid w:val="0"/>
        <w:spacing w:after="0" w:line="440" w:lineRule="exact"/>
        <w:textAlignment w:val="auto"/>
        <w:outlineLvl w:val="1"/>
        <w:rPr>
          <w:rFonts w:ascii="宋体" w:hAnsi="宋体" w:cs="宋体"/>
          <w:b/>
          <w:color w:val="auto"/>
          <w:sz w:val="24"/>
          <w:szCs w:val="24"/>
          <w:highlight w:val="none"/>
        </w:rPr>
      </w:pPr>
      <w:r>
        <w:rPr>
          <w:rFonts w:hint="eastAsia" w:ascii="宋体" w:hAnsi="宋体" w:cs="宋体"/>
          <w:b/>
          <w:color w:val="auto"/>
          <w:sz w:val="24"/>
          <w:szCs w:val="24"/>
          <w:highlight w:val="none"/>
        </w:rPr>
        <w:t>评审方法</w:t>
      </w:r>
    </w:p>
    <w:p w14:paraId="1ECCAAC0">
      <w:pPr>
        <w:keepNext w:val="0"/>
        <w:keepLines w:val="0"/>
        <w:pageBreakBefore w:val="0"/>
        <w:wordWrap/>
        <w:topLinePunct w:val="0"/>
        <w:autoSpaceDE/>
        <w:autoSpaceDN/>
        <w:bidi w:val="0"/>
        <w:adjustRightInd w:val="0"/>
        <w:snapToGrid w:val="0"/>
        <w:spacing w:after="0"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项目采用综合评分法。综合评分法是指响应文件满足采购文件全部实质性要求且按评审因素的量化指标评审得分最高的供应商为成交候选供应商的评审方法。</w:t>
      </w:r>
    </w:p>
    <w:p w14:paraId="2CBF40B3">
      <w:pPr>
        <w:pStyle w:val="99"/>
        <w:keepNext w:val="0"/>
        <w:keepLines w:val="0"/>
        <w:pageBreakBefore w:val="0"/>
        <w:numPr>
          <w:ilvl w:val="0"/>
          <w:numId w:val="48"/>
        </w:numPr>
        <w:tabs>
          <w:tab w:val="left" w:pos="284"/>
          <w:tab w:val="left" w:pos="567"/>
        </w:tabs>
        <w:wordWrap/>
        <w:topLinePunct w:val="0"/>
        <w:autoSpaceDE/>
        <w:autoSpaceDN/>
        <w:bidi w:val="0"/>
        <w:adjustRightInd w:val="0"/>
        <w:snapToGrid w:val="0"/>
        <w:spacing w:after="0" w:line="440" w:lineRule="exact"/>
        <w:textAlignment w:val="auto"/>
        <w:outlineLvl w:val="1"/>
        <w:rPr>
          <w:rFonts w:ascii="宋体" w:hAnsi="宋体"/>
          <w:b/>
          <w:color w:val="auto"/>
          <w:sz w:val="24"/>
          <w:szCs w:val="24"/>
          <w:highlight w:val="none"/>
          <w:lang w:val="zh-CN"/>
        </w:rPr>
      </w:pPr>
      <w:bookmarkStart w:id="124" w:name="_Toc272247709"/>
      <w:bookmarkStart w:id="125" w:name="_Toc278891606"/>
      <w:bookmarkStart w:id="126" w:name="_Toc96436724"/>
      <w:bookmarkStart w:id="127" w:name="_Toc494561962"/>
      <w:bookmarkStart w:id="128" w:name="_Toc478628934"/>
      <w:r>
        <w:rPr>
          <w:rFonts w:hint="eastAsia" w:ascii="宋体" w:hAnsi="宋体" w:cs="宋体"/>
          <w:b/>
          <w:color w:val="auto"/>
          <w:sz w:val="24"/>
          <w:szCs w:val="24"/>
          <w:highlight w:val="none"/>
        </w:rPr>
        <w:t>评审程序</w:t>
      </w:r>
      <w:bookmarkEnd w:id="124"/>
      <w:bookmarkEnd w:id="125"/>
      <w:r>
        <w:rPr>
          <w:rFonts w:hint="eastAsia" w:ascii="宋体" w:hAnsi="宋体" w:cs="宋体"/>
          <w:b/>
          <w:color w:val="auto"/>
          <w:sz w:val="24"/>
          <w:szCs w:val="24"/>
          <w:highlight w:val="none"/>
        </w:rPr>
        <w:t>及标准</w:t>
      </w:r>
      <w:bookmarkEnd w:id="126"/>
      <w:bookmarkEnd w:id="127"/>
    </w:p>
    <w:p w14:paraId="4021D3CE">
      <w:pPr>
        <w:keepNext w:val="0"/>
        <w:keepLines w:val="0"/>
        <w:pageBreakBefore w:val="0"/>
        <w:wordWrap/>
        <w:topLinePunct w:val="0"/>
        <w:autoSpaceDE/>
        <w:autoSpaceDN/>
        <w:bidi w:val="0"/>
        <w:spacing w:after="0" w:line="440" w:lineRule="exact"/>
        <w:ind w:firstLine="480" w:firstLineChars="200"/>
        <w:textAlignment w:val="auto"/>
        <w:rPr>
          <w:rFonts w:ascii="宋体" w:hAnsi="宋体"/>
          <w:bCs/>
          <w:color w:val="auto"/>
          <w:sz w:val="24"/>
          <w:szCs w:val="24"/>
          <w:highlight w:val="none"/>
          <w:lang w:val="zh-CN"/>
        </w:rPr>
      </w:pPr>
      <w:r>
        <w:rPr>
          <w:rFonts w:hint="eastAsia" w:ascii="宋体" w:hAnsi="宋体"/>
          <w:bCs/>
          <w:color w:val="auto"/>
          <w:sz w:val="24"/>
          <w:szCs w:val="24"/>
          <w:highlight w:val="none"/>
          <w:lang w:val="zh-CN"/>
        </w:rPr>
        <w:t>评审小组按以下工作程序进行评审：</w:t>
      </w:r>
      <w:r>
        <w:rPr>
          <w:rFonts w:ascii="宋体" w:hAnsi="宋体"/>
          <w:bCs/>
          <w:color w:val="auto"/>
          <w:sz w:val="24"/>
          <w:szCs w:val="24"/>
          <w:highlight w:val="none"/>
          <w:lang w:val="zh-CN"/>
        </w:rPr>
        <w:t>资格审查、</w:t>
      </w:r>
      <w:r>
        <w:rPr>
          <w:rFonts w:hint="eastAsia" w:ascii="宋体" w:hAnsi="宋体"/>
          <w:color w:val="auto"/>
          <w:sz w:val="24"/>
          <w:szCs w:val="24"/>
          <w:highlight w:val="none"/>
          <w:lang w:val="zh-CN"/>
        </w:rPr>
        <w:t>符合性审查、综合比较和评价、确定成交候选人名单。</w:t>
      </w:r>
    </w:p>
    <w:p w14:paraId="6CC74D94">
      <w:pPr>
        <w:keepNext w:val="0"/>
        <w:keepLines w:val="0"/>
        <w:pageBreakBefore w:val="0"/>
        <w:widowControl w:val="0"/>
        <w:numPr>
          <w:ilvl w:val="0"/>
          <w:numId w:val="49"/>
        </w:numPr>
        <w:wordWrap/>
        <w:topLinePunct w:val="0"/>
        <w:autoSpaceDE/>
        <w:autoSpaceDN/>
        <w:bidi w:val="0"/>
        <w:spacing w:after="0" w:line="440" w:lineRule="exact"/>
        <w:ind w:left="675" w:hanging="771" w:hangingChars="320"/>
        <w:jc w:val="both"/>
        <w:textAlignment w:val="auto"/>
        <w:rPr>
          <w:rFonts w:ascii="宋体" w:hAnsi="宋体"/>
          <w:strike/>
          <w:color w:val="auto"/>
          <w:sz w:val="24"/>
          <w:szCs w:val="24"/>
          <w:highlight w:val="none"/>
          <w:lang w:val="zh-CN"/>
        </w:rPr>
      </w:pPr>
      <w:r>
        <w:rPr>
          <w:rFonts w:hint="eastAsia" w:ascii="宋体" w:hAnsi="宋体"/>
          <w:b/>
          <w:color w:val="auto"/>
          <w:sz w:val="24"/>
          <w:szCs w:val="24"/>
          <w:highlight w:val="none"/>
          <w:lang w:val="zh-CN"/>
        </w:rPr>
        <w:t>资格审查</w:t>
      </w:r>
    </w:p>
    <w:bookmarkEnd w:id="128"/>
    <w:p w14:paraId="34F810B7">
      <w:pPr>
        <w:keepNext w:val="0"/>
        <w:keepLines w:val="0"/>
        <w:pageBreakBefore w:val="0"/>
        <w:wordWrap/>
        <w:topLinePunct w:val="0"/>
        <w:autoSpaceDE/>
        <w:autoSpaceDN/>
        <w:bidi w:val="0"/>
        <w:spacing w:after="0"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评审小组依据法律、</w:t>
      </w:r>
      <w:r>
        <w:rPr>
          <w:rFonts w:hint="eastAsia" w:ascii="宋体" w:hAnsi="宋体"/>
          <w:bCs/>
          <w:color w:val="auto"/>
          <w:sz w:val="24"/>
          <w:szCs w:val="24"/>
          <w:highlight w:val="none"/>
          <w:lang w:val="zh-CN"/>
        </w:rPr>
        <w:t>法规及采购文件的规定</w:t>
      </w:r>
      <w:r>
        <w:rPr>
          <w:rFonts w:hint="eastAsia" w:ascii="宋体" w:hAnsi="宋体" w:cs="宋体"/>
          <w:color w:val="auto"/>
          <w:sz w:val="24"/>
          <w:szCs w:val="24"/>
          <w:highlight w:val="none"/>
        </w:rPr>
        <w:t>，对供应商的资格进行审查，具体审查因素详见下表。</w:t>
      </w:r>
    </w:p>
    <w:p w14:paraId="2BA61054">
      <w:pPr>
        <w:keepNext w:val="0"/>
        <w:keepLines w:val="0"/>
        <w:pageBreakBefore w:val="0"/>
        <w:tabs>
          <w:tab w:val="left" w:pos="426"/>
        </w:tabs>
        <w:wordWrap/>
        <w:topLinePunct w:val="0"/>
        <w:autoSpaceDE/>
        <w:autoSpaceDN/>
        <w:bidi w:val="0"/>
        <w:adjustRightInd w:val="0"/>
        <w:snapToGrid w:val="0"/>
        <w:spacing w:after="0" w:line="440" w:lineRule="exact"/>
        <w:jc w:val="center"/>
        <w:textAlignment w:val="auto"/>
        <w:rPr>
          <w:rFonts w:ascii="宋体" w:hAnsi="宋体" w:cs="宋体"/>
          <w:color w:val="auto"/>
          <w:sz w:val="24"/>
          <w:szCs w:val="24"/>
          <w:highlight w:val="none"/>
        </w:rPr>
      </w:pPr>
      <w:r>
        <w:rPr>
          <w:rFonts w:hint="eastAsia" w:ascii="宋体" w:hAnsi="宋体" w:cs="宋体"/>
          <w:b/>
          <w:bCs/>
          <w:color w:val="auto"/>
          <w:sz w:val="24"/>
          <w:szCs w:val="24"/>
          <w:highlight w:val="none"/>
        </w:rPr>
        <w:t>资格审查表</w:t>
      </w:r>
    </w:p>
    <w:tbl>
      <w:tblPr>
        <w:tblStyle w:val="175"/>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850"/>
        <w:gridCol w:w="2179"/>
        <w:gridCol w:w="5404"/>
      </w:tblGrid>
      <w:tr w14:paraId="55E9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63BBB30B">
            <w:pPr>
              <w:keepNext w:val="0"/>
              <w:keepLines w:val="0"/>
              <w:pageBreakBefore w:val="0"/>
              <w:widowControl w:val="0"/>
              <w:tabs>
                <w:tab w:val="left" w:pos="616"/>
              </w:tabs>
              <w:kinsoku/>
              <w:wordWrap/>
              <w:overflowPunct/>
              <w:topLinePunct w:val="0"/>
              <w:autoSpaceDE/>
              <w:autoSpaceDN/>
              <w:bidi w:val="0"/>
              <w:snapToGrid w:val="0"/>
              <w:spacing w:after="0" w:line="440" w:lineRule="exact"/>
              <w:jc w:val="center"/>
              <w:textAlignment w:val="auto"/>
              <w:rPr>
                <w:rFonts w:ascii="宋体" w:hAnsi="宋体"/>
                <w:b/>
                <w:color w:val="auto"/>
                <w:sz w:val="24"/>
                <w:szCs w:val="24"/>
                <w:highlight w:val="none"/>
                <w:lang w:val="zh-CN"/>
              </w:rPr>
            </w:pPr>
            <w:r>
              <w:rPr>
                <w:rFonts w:hint="eastAsia" w:ascii="宋体" w:hAnsi="宋体"/>
                <w:b/>
                <w:color w:val="auto"/>
                <w:sz w:val="24"/>
                <w:szCs w:val="24"/>
                <w:highlight w:val="none"/>
                <w:lang w:val="zh-CN"/>
              </w:rPr>
              <w:t>序号</w:t>
            </w:r>
          </w:p>
        </w:tc>
        <w:tc>
          <w:tcPr>
            <w:tcW w:w="3029" w:type="dxa"/>
            <w:gridSpan w:val="2"/>
            <w:vAlign w:val="center"/>
          </w:tcPr>
          <w:p w14:paraId="32D0A915">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ascii="宋体" w:hAnsi="宋体"/>
                <w:b/>
                <w:color w:val="auto"/>
                <w:sz w:val="24"/>
                <w:szCs w:val="24"/>
                <w:highlight w:val="none"/>
                <w:lang w:val="zh-CN"/>
              </w:rPr>
            </w:pPr>
            <w:r>
              <w:rPr>
                <w:rFonts w:hint="eastAsia" w:ascii="宋体" w:hAnsi="宋体"/>
                <w:b/>
                <w:color w:val="auto"/>
                <w:sz w:val="24"/>
                <w:szCs w:val="24"/>
                <w:highlight w:val="none"/>
                <w:lang w:val="zh-CN"/>
              </w:rPr>
              <w:t>资格</w:t>
            </w:r>
            <w:r>
              <w:rPr>
                <w:rFonts w:ascii="宋体" w:hAnsi="宋体"/>
                <w:b/>
                <w:color w:val="auto"/>
                <w:sz w:val="24"/>
                <w:szCs w:val="24"/>
                <w:highlight w:val="none"/>
                <w:lang w:val="zh-CN"/>
              </w:rPr>
              <w:t>要求</w:t>
            </w:r>
          </w:p>
        </w:tc>
        <w:tc>
          <w:tcPr>
            <w:tcW w:w="5404" w:type="dxa"/>
            <w:vAlign w:val="center"/>
          </w:tcPr>
          <w:p w14:paraId="09F34D52">
            <w:pPr>
              <w:keepNext w:val="0"/>
              <w:keepLines w:val="0"/>
              <w:pageBreakBefore w:val="0"/>
              <w:widowControl w:val="0"/>
              <w:tabs>
                <w:tab w:val="left" w:pos="616"/>
              </w:tabs>
              <w:kinsoku/>
              <w:wordWrap/>
              <w:overflowPunct/>
              <w:topLinePunct w:val="0"/>
              <w:autoSpaceDE/>
              <w:autoSpaceDN/>
              <w:bidi w:val="0"/>
              <w:snapToGrid w:val="0"/>
              <w:spacing w:after="0" w:line="440" w:lineRule="exact"/>
              <w:jc w:val="center"/>
              <w:textAlignment w:val="auto"/>
              <w:rPr>
                <w:rFonts w:ascii="宋体" w:hAnsi="宋体"/>
                <w:b/>
                <w:color w:val="auto"/>
                <w:sz w:val="24"/>
                <w:szCs w:val="24"/>
                <w:highlight w:val="none"/>
                <w:lang w:val="zh-CN"/>
              </w:rPr>
            </w:pPr>
            <w:r>
              <w:rPr>
                <w:rFonts w:hint="eastAsia" w:ascii="宋体" w:hAnsi="宋体"/>
                <w:b/>
                <w:color w:val="auto"/>
                <w:sz w:val="24"/>
                <w:szCs w:val="24"/>
                <w:highlight w:val="none"/>
                <w:lang w:val="zh-CN"/>
              </w:rPr>
              <w:t>需</w:t>
            </w:r>
            <w:r>
              <w:rPr>
                <w:rFonts w:ascii="宋体" w:hAnsi="宋体"/>
                <w:b/>
                <w:color w:val="auto"/>
                <w:sz w:val="24"/>
                <w:szCs w:val="24"/>
                <w:highlight w:val="none"/>
                <w:lang w:val="zh-CN"/>
              </w:rPr>
              <w:t>提供的资料</w:t>
            </w:r>
          </w:p>
        </w:tc>
      </w:tr>
      <w:tr w14:paraId="181A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restart"/>
            <w:vAlign w:val="center"/>
          </w:tcPr>
          <w:p w14:paraId="09A536E2">
            <w:pPr>
              <w:keepNext w:val="0"/>
              <w:keepLines w:val="0"/>
              <w:pageBreakBefore w:val="0"/>
              <w:widowControl w:val="0"/>
              <w:tabs>
                <w:tab w:val="left" w:pos="616"/>
              </w:tabs>
              <w:kinsoku/>
              <w:wordWrap/>
              <w:overflowPunct/>
              <w:topLinePunct w:val="0"/>
              <w:autoSpaceDE/>
              <w:autoSpaceDN/>
              <w:bidi w:val="0"/>
              <w:snapToGrid w:val="0"/>
              <w:spacing w:after="0" w:line="440" w:lineRule="exact"/>
              <w:jc w:val="center"/>
              <w:textAlignment w:val="auto"/>
              <w:rPr>
                <w:rFonts w:ascii="宋体" w:hAnsi="宋体"/>
                <w:color w:val="auto"/>
                <w:sz w:val="24"/>
                <w:szCs w:val="24"/>
                <w:highlight w:val="none"/>
                <w:lang w:val="zh-CN"/>
              </w:rPr>
            </w:pPr>
            <w:r>
              <w:rPr>
                <w:rFonts w:hint="eastAsia" w:ascii="宋体" w:hAnsi="宋体"/>
                <w:color w:val="auto"/>
                <w:sz w:val="24"/>
                <w:szCs w:val="24"/>
                <w:highlight w:val="none"/>
                <w:lang w:val="zh-CN"/>
              </w:rPr>
              <w:t>1</w:t>
            </w:r>
          </w:p>
        </w:tc>
        <w:tc>
          <w:tcPr>
            <w:tcW w:w="850" w:type="dxa"/>
            <w:vMerge w:val="restart"/>
            <w:vAlign w:val="center"/>
          </w:tcPr>
          <w:p w14:paraId="2237234B">
            <w:pPr>
              <w:keepNext w:val="0"/>
              <w:keepLines w:val="0"/>
              <w:pageBreakBefore w:val="0"/>
              <w:widowControl w:val="0"/>
              <w:tabs>
                <w:tab w:val="left" w:pos="616"/>
              </w:tabs>
              <w:kinsoku/>
              <w:wordWrap/>
              <w:overflowPunct/>
              <w:topLinePunct w:val="0"/>
              <w:autoSpaceDE/>
              <w:autoSpaceDN/>
              <w:bidi w:val="0"/>
              <w:snapToGrid w:val="0"/>
              <w:spacing w:after="0" w:line="440" w:lineRule="exact"/>
              <w:jc w:val="center"/>
              <w:textAlignment w:val="auto"/>
              <w:rPr>
                <w:rFonts w:ascii="宋体" w:hAnsi="宋体"/>
                <w:color w:val="auto"/>
                <w:sz w:val="24"/>
                <w:szCs w:val="24"/>
                <w:highlight w:val="none"/>
                <w:lang w:val="zh-CN"/>
              </w:rPr>
            </w:pPr>
            <w:r>
              <w:rPr>
                <w:rFonts w:hint="eastAsia" w:ascii="宋体" w:hAnsi="宋体"/>
                <w:color w:val="auto"/>
                <w:sz w:val="24"/>
                <w:szCs w:val="24"/>
                <w:highlight w:val="none"/>
                <w:lang w:val="zh-CN"/>
              </w:rPr>
              <w:t>符合《政府采购法》第二十二条的规定</w:t>
            </w:r>
          </w:p>
        </w:tc>
        <w:tc>
          <w:tcPr>
            <w:tcW w:w="2179" w:type="dxa"/>
            <w:vAlign w:val="center"/>
          </w:tcPr>
          <w:p w14:paraId="3851A7A6">
            <w:pPr>
              <w:keepNext w:val="0"/>
              <w:keepLines w:val="0"/>
              <w:pageBreakBefore w:val="0"/>
              <w:widowControl w:val="0"/>
              <w:kinsoku/>
              <w:wordWrap/>
              <w:overflowPunct/>
              <w:topLinePunct w:val="0"/>
              <w:autoSpaceDE/>
              <w:autoSpaceDN/>
              <w:bidi w:val="0"/>
              <w:adjustRightInd w:val="0"/>
              <w:snapToGrid w:val="0"/>
              <w:spacing w:after="0" w:line="440" w:lineRule="exact"/>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1.1 具有独立承担民事责任的能力；</w:t>
            </w:r>
          </w:p>
        </w:tc>
        <w:tc>
          <w:tcPr>
            <w:tcW w:w="5404" w:type="dxa"/>
            <w:vAlign w:val="center"/>
          </w:tcPr>
          <w:p w14:paraId="2F995602">
            <w:pPr>
              <w:keepNext w:val="0"/>
              <w:keepLines w:val="0"/>
              <w:pageBreakBefore w:val="0"/>
              <w:widowControl w:val="0"/>
              <w:numPr>
                <w:ilvl w:val="0"/>
                <w:numId w:val="50"/>
              </w:numPr>
              <w:kinsoku/>
              <w:wordWrap/>
              <w:overflowPunct/>
              <w:topLinePunct w:val="0"/>
              <w:autoSpaceDE/>
              <w:autoSpaceDN/>
              <w:bidi w:val="0"/>
              <w:snapToGrid w:val="0"/>
              <w:spacing w:after="0" w:line="440" w:lineRule="exact"/>
              <w:jc w:val="both"/>
              <w:textAlignment w:val="auto"/>
              <w:rPr>
                <w:rFonts w:ascii="宋体" w:hAnsi="宋体"/>
                <w:color w:val="auto"/>
                <w:sz w:val="24"/>
                <w:szCs w:val="24"/>
                <w:highlight w:val="none"/>
              </w:rPr>
            </w:pPr>
            <w:r>
              <w:rPr>
                <w:rFonts w:ascii="宋体" w:hAnsi="宋体"/>
                <w:color w:val="auto"/>
                <w:sz w:val="24"/>
                <w:szCs w:val="24"/>
                <w:highlight w:val="none"/>
              </w:rPr>
              <w:t>企业（包括合伙企业）提供有效</w:t>
            </w:r>
            <w:r>
              <w:rPr>
                <w:rFonts w:hint="eastAsia" w:ascii="宋体" w:hAnsi="宋体"/>
                <w:color w:val="auto"/>
                <w:sz w:val="24"/>
                <w:szCs w:val="24"/>
                <w:highlight w:val="none"/>
              </w:rPr>
              <w:t>“</w:t>
            </w:r>
            <w:r>
              <w:rPr>
                <w:rFonts w:ascii="宋体" w:hAnsi="宋体"/>
                <w:color w:val="auto"/>
                <w:sz w:val="24"/>
                <w:szCs w:val="24"/>
                <w:highlight w:val="none"/>
              </w:rPr>
              <w:t>企业法人营业执照</w:t>
            </w:r>
            <w:r>
              <w:rPr>
                <w:rFonts w:hint="eastAsia" w:ascii="宋体" w:hAnsi="宋体"/>
                <w:color w:val="auto"/>
                <w:sz w:val="24"/>
                <w:szCs w:val="24"/>
                <w:highlight w:val="none"/>
              </w:rPr>
              <w:t>”</w:t>
            </w:r>
            <w:r>
              <w:rPr>
                <w:rFonts w:ascii="宋体" w:hAnsi="宋体"/>
                <w:color w:val="auto"/>
                <w:sz w:val="24"/>
                <w:szCs w:val="24"/>
                <w:highlight w:val="none"/>
              </w:rPr>
              <w:t>或</w:t>
            </w:r>
            <w:r>
              <w:rPr>
                <w:rFonts w:hint="eastAsia" w:ascii="宋体" w:hAnsi="宋体"/>
                <w:color w:val="auto"/>
                <w:sz w:val="24"/>
                <w:szCs w:val="24"/>
                <w:highlight w:val="none"/>
              </w:rPr>
              <w:t>“</w:t>
            </w:r>
            <w:r>
              <w:rPr>
                <w:rFonts w:ascii="宋体" w:hAnsi="宋体"/>
                <w:color w:val="auto"/>
                <w:sz w:val="24"/>
                <w:szCs w:val="24"/>
                <w:highlight w:val="none"/>
              </w:rPr>
              <w:t>营业执照</w:t>
            </w:r>
            <w:r>
              <w:rPr>
                <w:rFonts w:hint="eastAsia" w:ascii="宋体" w:hAnsi="宋体"/>
                <w:color w:val="auto"/>
                <w:sz w:val="24"/>
                <w:szCs w:val="24"/>
                <w:highlight w:val="none"/>
              </w:rPr>
              <w:t>”</w:t>
            </w:r>
            <w:r>
              <w:rPr>
                <w:rFonts w:ascii="宋体" w:hAnsi="宋体"/>
                <w:color w:val="auto"/>
                <w:sz w:val="24"/>
                <w:szCs w:val="24"/>
                <w:highlight w:val="none"/>
              </w:rPr>
              <w:t>；</w:t>
            </w:r>
          </w:p>
          <w:p w14:paraId="2885683D">
            <w:pPr>
              <w:keepNext w:val="0"/>
              <w:keepLines w:val="0"/>
              <w:pageBreakBefore w:val="0"/>
              <w:widowControl w:val="0"/>
              <w:numPr>
                <w:ilvl w:val="0"/>
                <w:numId w:val="50"/>
              </w:numPr>
              <w:kinsoku/>
              <w:wordWrap/>
              <w:overflowPunct/>
              <w:topLinePunct w:val="0"/>
              <w:autoSpaceDE/>
              <w:autoSpaceDN/>
              <w:bidi w:val="0"/>
              <w:snapToGrid w:val="0"/>
              <w:spacing w:after="0" w:line="440" w:lineRule="exact"/>
              <w:jc w:val="both"/>
              <w:textAlignment w:val="auto"/>
              <w:rPr>
                <w:rFonts w:ascii="宋体" w:hAnsi="宋体"/>
                <w:color w:val="auto"/>
                <w:sz w:val="24"/>
                <w:szCs w:val="24"/>
                <w:highlight w:val="none"/>
              </w:rPr>
            </w:pPr>
            <w:r>
              <w:rPr>
                <w:rFonts w:ascii="宋体" w:hAnsi="宋体"/>
                <w:color w:val="auto"/>
                <w:sz w:val="24"/>
                <w:szCs w:val="24"/>
                <w:highlight w:val="none"/>
              </w:rPr>
              <w:t>事业单位提供有效的</w:t>
            </w:r>
            <w:r>
              <w:rPr>
                <w:rFonts w:hint="eastAsia" w:ascii="宋体" w:hAnsi="宋体"/>
                <w:color w:val="auto"/>
                <w:sz w:val="24"/>
                <w:szCs w:val="24"/>
                <w:highlight w:val="none"/>
              </w:rPr>
              <w:t>“</w:t>
            </w:r>
            <w:r>
              <w:rPr>
                <w:rFonts w:ascii="宋体" w:hAnsi="宋体"/>
                <w:color w:val="auto"/>
                <w:sz w:val="24"/>
                <w:szCs w:val="24"/>
                <w:highlight w:val="none"/>
              </w:rPr>
              <w:t>事业单位法人证书</w:t>
            </w:r>
            <w:r>
              <w:rPr>
                <w:rFonts w:hint="eastAsia" w:ascii="宋体" w:hAnsi="宋体"/>
                <w:color w:val="auto"/>
                <w:sz w:val="24"/>
                <w:szCs w:val="24"/>
                <w:highlight w:val="none"/>
              </w:rPr>
              <w:t>”</w:t>
            </w:r>
            <w:r>
              <w:rPr>
                <w:rFonts w:ascii="宋体" w:hAnsi="宋体"/>
                <w:color w:val="auto"/>
                <w:sz w:val="24"/>
                <w:szCs w:val="24"/>
                <w:highlight w:val="none"/>
              </w:rPr>
              <w:t>；</w:t>
            </w:r>
          </w:p>
          <w:p w14:paraId="20FCBA03">
            <w:pPr>
              <w:keepNext w:val="0"/>
              <w:keepLines w:val="0"/>
              <w:pageBreakBefore w:val="0"/>
              <w:widowControl w:val="0"/>
              <w:numPr>
                <w:ilvl w:val="0"/>
                <w:numId w:val="50"/>
              </w:numPr>
              <w:kinsoku/>
              <w:wordWrap/>
              <w:overflowPunct/>
              <w:topLinePunct w:val="0"/>
              <w:autoSpaceDE/>
              <w:autoSpaceDN/>
              <w:bidi w:val="0"/>
              <w:snapToGrid w:val="0"/>
              <w:spacing w:after="0" w:line="440" w:lineRule="exact"/>
              <w:jc w:val="both"/>
              <w:textAlignment w:val="auto"/>
              <w:rPr>
                <w:rFonts w:ascii="宋体" w:hAnsi="宋体"/>
                <w:color w:val="auto"/>
                <w:sz w:val="24"/>
                <w:szCs w:val="24"/>
                <w:highlight w:val="none"/>
              </w:rPr>
            </w:pPr>
            <w:r>
              <w:rPr>
                <w:rFonts w:ascii="宋体" w:hAnsi="宋体"/>
                <w:color w:val="auto"/>
                <w:sz w:val="24"/>
                <w:szCs w:val="24"/>
                <w:highlight w:val="none"/>
              </w:rPr>
              <w:t>非企业专业服务机构提供有效的</w:t>
            </w:r>
            <w:r>
              <w:rPr>
                <w:rFonts w:hint="eastAsia" w:ascii="宋体" w:hAnsi="宋体"/>
                <w:color w:val="auto"/>
                <w:sz w:val="24"/>
                <w:szCs w:val="24"/>
                <w:highlight w:val="none"/>
              </w:rPr>
              <w:t>“</w:t>
            </w:r>
            <w:r>
              <w:rPr>
                <w:rFonts w:ascii="宋体" w:hAnsi="宋体"/>
                <w:color w:val="auto"/>
                <w:sz w:val="24"/>
                <w:szCs w:val="24"/>
                <w:highlight w:val="none"/>
              </w:rPr>
              <w:t>执业许可证</w:t>
            </w:r>
            <w:r>
              <w:rPr>
                <w:rFonts w:hint="eastAsia" w:ascii="宋体" w:hAnsi="宋体"/>
                <w:color w:val="auto"/>
                <w:sz w:val="24"/>
                <w:szCs w:val="24"/>
                <w:highlight w:val="none"/>
              </w:rPr>
              <w:t>”</w:t>
            </w:r>
            <w:r>
              <w:rPr>
                <w:rFonts w:ascii="宋体" w:hAnsi="宋体"/>
                <w:color w:val="auto"/>
                <w:sz w:val="24"/>
                <w:szCs w:val="24"/>
                <w:highlight w:val="none"/>
              </w:rPr>
              <w:t>等证明文件；</w:t>
            </w:r>
          </w:p>
          <w:p w14:paraId="1A78D45E">
            <w:pPr>
              <w:keepNext w:val="0"/>
              <w:keepLines w:val="0"/>
              <w:pageBreakBefore w:val="0"/>
              <w:widowControl w:val="0"/>
              <w:numPr>
                <w:ilvl w:val="0"/>
                <w:numId w:val="50"/>
              </w:numPr>
              <w:kinsoku/>
              <w:wordWrap/>
              <w:overflowPunct/>
              <w:topLinePunct w:val="0"/>
              <w:autoSpaceDE/>
              <w:autoSpaceDN/>
              <w:bidi w:val="0"/>
              <w:snapToGrid w:val="0"/>
              <w:spacing w:after="0" w:line="440" w:lineRule="exact"/>
              <w:jc w:val="both"/>
              <w:textAlignment w:val="auto"/>
              <w:rPr>
                <w:rFonts w:ascii="宋体" w:hAnsi="宋体"/>
                <w:color w:val="auto"/>
                <w:sz w:val="24"/>
                <w:szCs w:val="24"/>
                <w:highlight w:val="none"/>
              </w:rPr>
            </w:pPr>
            <w:r>
              <w:rPr>
                <w:rFonts w:ascii="宋体" w:hAnsi="宋体"/>
                <w:color w:val="auto"/>
                <w:sz w:val="24"/>
                <w:szCs w:val="24"/>
                <w:highlight w:val="none"/>
              </w:rPr>
              <w:t>个体工商户提供有效的</w:t>
            </w:r>
            <w:r>
              <w:rPr>
                <w:rFonts w:hint="eastAsia" w:ascii="宋体" w:hAnsi="宋体"/>
                <w:color w:val="auto"/>
                <w:sz w:val="24"/>
                <w:szCs w:val="24"/>
                <w:highlight w:val="none"/>
              </w:rPr>
              <w:t>“</w:t>
            </w:r>
            <w:r>
              <w:rPr>
                <w:rFonts w:ascii="宋体" w:hAnsi="宋体"/>
                <w:color w:val="auto"/>
                <w:sz w:val="24"/>
                <w:szCs w:val="24"/>
                <w:highlight w:val="none"/>
              </w:rPr>
              <w:t>个体工商户营业执照</w:t>
            </w:r>
            <w:r>
              <w:rPr>
                <w:rFonts w:hint="eastAsia" w:ascii="宋体" w:hAnsi="宋体"/>
                <w:color w:val="auto"/>
                <w:sz w:val="24"/>
                <w:szCs w:val="24"/>
                <w:highlight w:val="none"/>
              </w:rPr>
              <w:t>”</w:t>
            </w:r>
            <w:r>
              <w:rPr>
                <w:rFonts w:ascii="宋体" w:hAnsi="宋体"/>
                <w:color w:val="auto"/>
                <w:sz w:val="24"/>
                <w:szCs w:val="24"/>
                <w:highlight w:val="none"/>
              </w:rPr>
              <w:t>；</w:t>
            </w:r>
          </w:p>
          <w:p w14:paraId="2877D45F">
            <w:pPr>
              <w:keepNext w:val="0"/>
              <w:keepLines w:val="0"/>
              <w:pageBreakBefore w:val="0"/>
              <w:widowControl w:val="0"/>
              <w:numPr>
                <w:ilvl w:val="0"/>
                <w:numId w:val="50"/>
              </w:numPr>
              <w:kinsoku/>
              <w:wordWrap/>
              <w:overflowPunct/>
              <w:topLinePunct w:val="0"/>
              <w:autoSpaceDE/>
              <w:autoSpaceDN/>
              <w:bidi w:val="0"/>
              <w:snapToGrid w:val="0"/>
              <w:spacing w:after="0" w:line="440" w:lineRule="exact"/>
              <w:jc w:val="both"/>
              <w:textAlignment w:val="auto"/>
              <w:rPr>
                <w:rFonts w:ascii="宋体" w:hAnsi="宋体"/>
                <w:color w:val="auto"/>
                <w:sz w:val="24"/>
                <w:szCs w:val="24"/>
                <w:highlight w:val="none"/>
                <w:lang w:val="zh-CN"/>
              </w:rPr>
            </w:pPr>
            <w:r>
              <w:rPr>
                <w:rFonts w:ascii="宋体" w:hAnsi="宋体"/>
                <w:color w:val="auto"/>
                <w:sz w:val="24"/>
                <w:szCs w:val="24"/>
                <w:highlight w:val="none"/>
              </w:rPr>
              <w:t>自然人提供有效的自然人身份证明。</w:t>
            </w:r>
          </w:p>
        </w:tc>
      </w:tr>
      <w:tr w14:paraId="5BDA9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continue"/>
            <w:vAlign w:val="center"/>
          </w:tcPr>
          <w:p w14:paraId="5DD559A8">
            <w:pPr>
              <w:keepNext w:val="0"/>
              <w:keepLines w:val="0"/>
              <w:pageBreakBefore w:val="0"/>
              <w:widowControl w:val="0"/>
              <w:tabs>
                <w:tab w:val="left" w:pos="616"/>
              </w:tabs>
              <w:kinsoku/>
              <w:wordWrap/>
              <w:overflowPunct/>
              <w:topLinePunct w:val="0"/>
              <w:autoSpaceDE/>
              <w:autoSpaceDN/>
              <w:bidi w:val="0"/>
              <w:snapToGrid w:val="0"/>
              <w:spacing w:after="0" w:line="440" w:lineRule="exact"/>
              <w:jc w:val="center"/>
              <w:textAlignment w:val="auto"/>
              <w:rPr>
                <w:rFonts w:ascii="宋体" w:hAnsi="宋体"/>
                <w:color w:val="auto"/>
                <w:sz w:val="24"/>
                <w:szCs w:val="24"/>
                <w:highlight w:val="none"/>
                <w:lang w:val="zh-CN"/>
              </w:rPr>
            </w:pPr>
          </w:p>
        </w:tc>
        <w:tc>
          <w:tcPr>
            <w:tcW w:w="850" w:type="dxa"/>
            <w:vMerge w:val="continue"/>
          </w:tcPr>
          <w:p w14:paraId="5CDD71F9">
            <w:pPr>
              <w:keepNext w:val="0"/>
              <w:keepLines w:val="0"/>
              <w:pageBreakBefore w:val="0"/>
              <w:widowControl w:val="0"/>
              <w:tabs>
                <w:tab w:val="left" w:pos="616"/>
              </w:tabs>
              <w:kinsoku/>
              <w:wordWrap/>
              <w:overflowPunct/>
              <w:topLinePunct w:val="0"/>
              <w:autoSpaceDE/>
              <w:autoSpaceDN/>
              <w:bidi w:val="0"/>
              <w:snapToGrid w:val="0"/>
              <w:spacing w:after="0" w:line="440" w:lineRule="exact"/>
              <w:jc w:val="both"/>
              <w:textAlignment w:val="auto"/>
              <w:rPr>
                <w:rFonts w:ascii="宋体" w:hAnsi="宋体"/>
                <w:color w:val="auto"/>
                <w:sz w:val="24"/>
                <w:szCs w:val="24"/>
                <w:highlight w:val="none"/>
                <w:lang w:val="zh-CN"/>
              </w:rPr>
            </w:pPr>
          </w:p>
        </w:tc>
        <w:tc>
          <w:tcPr>
            <w:tcW w:w="2179" w:type="dxa"/>
            <w:vAlign w:val="center"/>
          </w:tcPr>
          <w:p w14:paraId="366A4589">
            <w:pPr>
              <w:keepNext w:val="0"/>
              <w:keepLines w:val="0"/>
              <w:pageBreakBefore w:val="0"/>
              <w:widowControl w:val="0"/>
              <w:kinsoku/>
              <w:wordWrap/>
              <w:overflowPunct/>
              <w:topLinePunct w:val="0"/>
              <w:autoSpaceDE/>
              <w:autoSpaceDN/>
              <w:bidi w:val="0"/>
              <w:adjustRightInd w:val="0"/>
              <w:snapToGrid w:val="0"/>
              <w:spacing w:after="0" w:line="440" w:lineRule="exact"/>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1.2 具有良好的商业信誉和健全的财务会计制度；</w:t>
            </w:r>
          </w:p>
        </w:tc>
        <w:tc>
          <w:tcPr>
            <w:tcW w:w="5404" w:type="dxa"/>
            <w:vAlign w:val="center"/>
          </w:tcPr>
          <w:p w14:paraId="4957CFA4">
            <w:pPr>
              <w:keepNext w:val="0"/>
              <w:keepLines w:val="0"/>
              <w:pageBreakBefore w:val="0"/>
              <w:widowControl w:val="0"/>
              <w:numPr>
                <w:ilvl w:val="0"/>
                <w:numId w:val="0"/>
              </w:numPr>
              <w:kinsoku/>
              <w:wordWrap/>
              <w:overflowPunct/>
              <w:topLinePunct w:val="0"/>
              <w:autoSpaceDE/>
              <w:autoSpaceDN/>
              <w:bidi w:val="0"/>
              <w:spacing w:after="0" w:line="440" w:lineRule="exact"/>
              <w:ind w:leftChars="0"/>
              <w:jc w:val="both"/>
              <w:textAlignment w:val="auto"/>
              <w:rPr>
                <w:rFonts w:ascii="宋体" w:hAnsi="宋体"/>
                <w:color w:val="auto"/>
                <w:sz w:val="24"/>
                <w:szCs w:val="24"/>
                <w:highlight w:val="none"/>
              </w:rPr>
            </w:pPr>
            <w:r>
              <w:rPr>
                <w:rFonts w:hint="eastAsia" w:ascii="宋体" w:hAnsi="宋体" w:cs="宋体"/>
                <w:b/>
                <w:bCs/>
                <w:color w:val="auto"/>
                <w:kern w:val="0"/>
                <w:sz w:val="24"/>
                <w:szCs w:val="24"/>
                <w:highlight w:val="none"/>
                <w:lang w:val="en-US" w:eastAsia="zh-CN"/>
              </w:rPr>
              <w:t>供应商</w:t>
            </w:r>
            <w:r>
              <w:rPr>
                <w:rFonts w:hint="eastAsia" w:ascii="宋体" w:hAnsi="宋体" w:eastAsia="宋体" w:cs="宋体"/>
                <w:b/>
                <w:bCs/>
                <w:color w:val="auto"/>
                <w:kern w:val="0"/>
                <w:sz w:val="24"/>
                <w:szCs w:val="24"/>
                <w:highlight w:val="none"/>
              </w:rPr>
              <w:t>提供以下证明材料或者出具的承诺说明。</w:t>
            </w:r>
          </w:p>
          <w:p w14:paraId="6F426397">
            <w:pPr>
              <w:keepNext w:val="0"/>
              <w:keepLines w:val="0"/>
              <w:pageBreakBefore w:val="0"/>
              <w:widowControl w:val="0"/>
              <w:numPr>
                <w:ilvl w:val="0"/>
                <w:numId w:val="51"/>
              </w:numPr>
              <w:kinsoku/>
              <w:wordWrap/>
              <w:overflowPunct/>
              <w:topLinePunct w:val="0"/>
              <w:autoSpaceDE/>
              <w:autoSpaceDN/>
              <w:bidi w:val="0"/>
              <w:spacing w:after="0" w:line="440" w:lineRule="exact"/>
              <w:jc w:val="both"/>
              <w:textAlignment w:val="auto"/>
              <w:rPr>
                <w:rFonts w:ascii="宋体" w:hAnsi="宋体"/>
                <w:color w:val="auto"/>
                <w:sz w:val="24"/>
                <w:szCs w:val="24"/>
                <w:highlight w:val="none"/>
              </w:rPr>
            </w:pPr>
            <w:r>
              <w:rPr>
                <w:rFonts w:hint="eastAsia" w:ascii="宋体" w:hAnsi="宋体"/>
                <w:color w:val="auto"/>
                <w:sz w:val="24"/>
                <w:szCs w:val="24"/>
                <w:highlight w:val="none"/>
              </w:rPr>
              <w:t>供应商是法人的，应提供</w:t>
            </w:r>
            <w:r>
              <w:rPr>
                <w:rFonts w:hint="eastAsia" w:ascii="宋体" w:hAnsi="宋体"/>
                <w:b/>
                <w:bCs/>
                <w:color w:val="auto"/>
                <w:sz w:val="24"/>
                <w:szCs w:val="24"/>
                <w:highlight w:val="none"/>
                <w:lang w:val="en-US" w:eastAsia="zh-CN"/>
              </w:rPr>
              <w:t>2024年度</w:t>
            </w:r>
            <w:r>
              <w:rPr>
                <w:rFonts w:hint="eastAsia" w:ascii="宋体" w:hAnsi="宋体"/>
                <w:color w:val="auto"/>
                <w:sz w:val="24"/>
                <w:szCs w:val="24"/>
                <w:highlight w:val="none"/>
              </w:rPr>
              <w:t>经第三方审计的财务报告（完整的财务报告，包括“三/四表一注”，即资产负债表、利润表、现金流量表、所有者权益变动表（如有）及其附注）；</w:t>
            </w:r>
          </w:p>
          <w:p w14:paraId="60F392F6">
            <w:pPr>
              <w:keepNext w:val="0"/>
              <w:keepLines w:val="0"/>
              <w:pageBreakBefore w:val="0"/>
              <w:widowControl w:val="0"/>
              <w:numPr>
                <w:ilvl w:val="0"/>
                <w:numId w:val="51"/>
              </w:numPr>
              <w:kinsoku/>
              <w:wordWrap/>
              <w:overflowPunct/>
              <w:topLinePunct w:val="0"/>
              <w:autoSpaceDE/>
              <w:autoSpaceDN/>
              <w:bidi w:val="0"/>
              <w:spacing w:after="0" w:line="440" w:lineRule="exact"/>
              <w:jc w:val="both"/>
              <w:textAlignment w:val="auto"/>
              <w:rPr>
                <w:rFonts w:ascii="宋体" w:hAnsi="宋体"/>
                <w:color w:val="auto"/>
                <w:sz w:val="24"/>
                <w:szCs w:val="24"/>
                <w:highlight w:val="none"/>
              </w:rPr>
            </w:pPr>
            <w:r>
              <w:rPr>
                <w:rFonts w:hint="eastAsia" w:ascii="宋体" w:hAnsi="宋体"/>
                <w:color w:val="auto"/>
                <w:sz w:val="24"/>
                <w:szCs w:val="24"/>
                <w:highlight w:val="none"/>
              </w:rPr>
              <w:t>或其基本开户银行出具的资信证明；</w:t>
            </w:r>
          </w:p>
          <w:p w14:paraId="7B59D1FD">
            <w:pPr>
              <w:keepNext w:val="0"/>
              <w:keepLines w:val="0"/>
              <w:pageBreakBefore w:val="0"/>
              <w:widowControl w:val="0"/>
              <w:numPr>
                <w:ilvl w:val="0"/>
                <w:numId w:val="51"/>
              </w:numPr>
              <w:kinsoku/>
              <w:wordWrap/>
              <w:overflowPunct/>
              <w:topLinePunct w:val="0"/>
              <w:autoSpaceDE/>
              <w:autoSpaceDN/>
              <w:bidi w:val="0"/>
              <w:spacing w:after="0" w:line="440" w:lineRule="exact"/>
              <w:jc w:val="both"/>
              <w:textAlignment w:val="auto"/>
              <w:rPr>
                <w:rFonts w:ascii="宋体" w:hAnsi="宋体"/>
                <w:color w:val="auto"/>
                <w:sz w:val="24"/>
                <w:szCs w:val="24"/>
                <w:highlight w:val="none"/>
              </w:rPr>
            </w:pPr>
            <w:r>
              <w:rPr>
                <w:rFonts w:hint="eastAsia" w:ascii="宋体" w:hAnsi="宋体"/>
                <w:color w:val="auto"/>
                <w:sz w:val="24"/>
                <w:szCs w:val="24"/>
                <w:highlight w:val="none"/>
              </w:rPr>
              <w:t>其他组织和自然人没有经第三方审计的财务报告的，可以提供银行出具的资信证明；</w:t>
            </w:r>
          </w:p>
          <w:p w14:paraId="642ADFDA">
            <w:pPr>
              <w:keepNext w:val="0"/>
              <w:keepLines w:val="0"/>
              <w:pageBreakBefore w:val="0"/>
              <w:widowControl w:val="0"/>
              <w:numPr>
                <w:ilvl w:val="0"/>
                <w:numId w:val="51"/>
              </w:numPr>
              <w:kinsoku/>
              <w:wordWrap/>
              <w:overflowPunct/>
              <w:topLinePunct w:val="0"/>
              <w:autoSpaceDE/>
              <w:autoSpaceDN/>
              <w:bidi w:val="0"/>
              <w:snapToGrid w:val="0"/>
              <w:spacing w:after="0" w:line="440" w:lineRule="exact"/>
              <w:jc w:val="both"/>
              <w:textAlignment w:val="auto"/>
              <w:rPr>
                <w:rFonts w:ascii="宋体" w:hAnsi="宋体"/>
                <w:color w:val="auto"/>
                <w:sz w:val="24"/>
                <w:szCs w:val="24"/>
                <w:highlight w:val="none"/>
                <w:lang w:val="zh-CN"/>
              </w:rPr>
            </w:pPr>
            <w:r>
              <w:rPr>
                <w:rFonts w:hint="eastAsia" w:ascii="宋体" w:hAnsi="宋体"/>
                <w:color w:val="auto"/>
                <w:sz w:val="24"/>
                <w:szCs w:val="24"/>
                <w:highlight w:val="none"/>
              </w:rPr>
              <w:t>供应商没有经第三方审计的财务报告和资信证明时，也可以提供财政部门认可的政府采购专业担保机构出具的担保函</w:t>
            </w:r>
            <w:r>
              <w:rPr>
                <w:rFonts w:hint="eastAsia" w:ascii="宋体" w:hAnsi="宋体"/>
                <w:color w:val="auto"/>
                <w:sz w:val="24"/>
                <w:szCs w:val="24"/>
                <w:highlight w:val="none"/>
                <w:lang w:val="zh-CN"/>
              </w:rPr>
              <w:t>。</w:t>
            </w:r>
          </w:p>
        </w:tc>
      </w:tr>
      <w:tr w14:paraId="7899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continue"/>
            <w:vAlign w:val="center"/>
          </w:tcPr>
          <w:p w14:paraId="6D05ABE2">
            <w:pPr>
              <w:keepNext w:val="0"/>
              <w:keepLines w:val="0"/>
              <w:pageBreakBefore w:val="0"/>
              <w:widowControl w:val="0"/>
              <w:tabs>
                <w:tab w:val="left" w:pos="616"/>
              </w:tabs>
              <w:kinsoku/>
              <w:wordWrap/>
              <w:overflowPunct/>
              <w:topLinePunct w:val="0"/>
              <w:autoSpaceDE/>
              <w:autoSpaceDN/>
              <w:bidi w:val="0"/>
              <w:snapToGrid w:val="0"/>
              <w:spacing w:after="0" w:line="440" w:lineRule="exact"/>
              <w:jc w:val="center"/>
              <w:textAlignment w:val="auto"/>
              <w:rPr>
                <w:rFonts w:ascii="宋体" w:hAnsi="宋体"/>
                <w:b/>
                <w:color w:val="auto"/>
                <w:sz w:val="24"/>
                <w:szCs w:val="24"/>
                <w:highlight w:val="none"/>
                <w:lang w:val="zh-CN"/>
              </w:rPr>
            </w:pPr>
          </w:p>
        </w:tc>
        <w:tc>
          <w:tcPr>
            <w:tcW w:w="850" w:type="dxa"/>
            <w:vMerge w:val="continue"/>
          </w:tcPr>
          <w:p w14:paraId="0D9FEBED">
            <w:pPr>
              <w:keepNext w:val="0"/>
              <w:keepLines w:val="0"/>
              <w:pageBreakBefore w:val="0"/>
              <w:widowControl w:val="0"/>
              <w:tabs>
                <w:tab w:val="left" w:pos="616"/>
              </w:tabs>
              <w:kinsoku/>
              <w:wordWrap/>
              <w:overflowPunct/>
              <w:topLinePunct w:val="0"/>
              <w:autoSpaceDE/>
              <w:autoSpaceDN/>
              <w:bidi w:val="0"/>
              <w:snapToGrid w:val="0"/>
              <w:spacing w:after="0" w:line="440" w:lineRule="exact"/>
              <w:jc w:val="both"/>
              <w:textAlignment w:val="auto"/>
              <w:rPr>
                <w:rFonts w:ascii="宋体" w:hAnsi="宋体"/>
                <w:b/>
                <w:color w:val="auto"/>
                <w:sz w:val="24"/>
                <w:szCs w:val="24"/>
                <w:highlight w:val="none"/>
                <w:lang w:val="zh-CN"/>
              </w:rPr>
            </w:pPr>
          </w:p>
        </w:tc>
        <w:tc>
          <w:tcPr>
            <w:tcW w:w="2179" w:type="dxa"/>
            <w:vAlign w:val="center"/>
          </w:tcPr>
          <w:p w14:paraId="4B2A8916">
            <w:pPr>
              <w:keepNext w:val="0"/>
              <w:keepLines w:val="0"/>
              <w:pageBreakBefore w:val="0"/>
              <w:widowControl w:val="0"/>
              <w:kinsoku/>
              <w:wordWrap/>
              <w:overflowPunct/>
              <w:topLinePunct w:val="0"/>
              <w:autoSpaceDE/>
              <w:autoSpaceDN/>
              <w:bidi w:val="0"/>
              <w:adjustRightInd w:val="0"/>
              <w:snapToGrid w:val="0"/>
              <w:spacing w:after="0" w:line="440" w:lineRule="exact"/>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1.3 具有履行合同所必需的设备和专业技术能力；</w:t>
            </w:r>
          </w:p>
        </w:tc>
        <w:tc>
          <w:tcPr>
            <w:tcW w:w="5404" w:type="dxa"/>
            <w:vAlign w:val="center"/>
          </w:tcPr>
          <w:p w14:paraId="4F50D5F6">
            <w:pPr>
              <w:keepNext w:val="0"/>
              <w:keepLines w:val="0"/>
              <w:pageBreakBefore w:val="0"/>
              <w:widowControl w:val="0"/>
              <w:numPr>
                <w:ilvl w:val="0"/>
                <w:numId w:val="0"/>
              </w:numPr>
              <w:kinsoku/>
              <w:wordWrap/>
              <w:overflowPunct/>
              <w:topLinePunct w:val="0"/>
              <w:autoSpaceDE/>
              <w:autoSpaceDN/>
              <w:bidi w:val="0"/>
              <w:spacing w:after="0" w:line="440" w:lineRule="exact"/>
              <w:ind w:leftChars="0"/>
              <w:jc w:val="both"/>
              <w:textAlignment w:val="auto"/>
              <w:rPr>
                <w:rFonts w:ascii="宋体" w:hAnsi="宋体"/>
                <w:color w:val="auto"/>
                <w:sz w:val="24"/>
                <w:szCs w:val="24"/>
                <w:highlight w:val="none"/>
              </w:rPr>
            </w:pPr>
            <w:r>
              <w:rPr>
                <w:rFonts w:hint="eastAsia" w:ascii="宋体" w:hAnsi="宋体" w:cs="宋体"/>
                <w:b/>
                <w:bCs/>
                <w:color w:val="auto"/>
                <w:kern w:val="0"/>
                <w:sz w:val="24"/>
                <w:szCs w:val="24"/>
                <w:highlight w:val="none"/>
                <w:lang w:val="en-US" w:eastAsia="zh-CN"/>
              </w:rPr>
              <w:t>供应商</w:t>
            </w:r>
            <w:r>
              <w:rPr>
                <w:rFonts w:hint="eastAsia" w:ascii="宋体" w:hAnsi="宋体" w:eastAsia="宋体" w:cs="宋体"/>
                <w:b/>
                <w:bCs/>
                <w:color w:val="auto"/>
                <w:kern w:val="0"/>
                <w:sz w:val="24"/>
                <w:szCs w:val="24"/>
                <w:highlight w:val="none"/>
              </w:rPr>
              <w:t>提供以下证明材料或者出具的承诺说明。</w:t>
            </w:r>
          </w:p>
          <w:p w14:paraId="7B5A56CB">
            <w:pPr>
              <w:keepNext w:val="0"/>
              <w:keepLines w:val="0"/>
              <w:pageBreakBefore w:val="0"/>
              <w:widowControl w:val="0"/>
              <w:numPr>
                <w:ilvl w:val="0"/>
                <w:numId w:val="52"/>
              </w:numPr>
              <w:kinsoku/>
              <w:wordWrap/>
              <w:overflowPunct/>
              <w:topLinePunct w:val="0"/>
              <w:autoSpaceDE/>
              <w:autoSpaceDN/>
              <w:bidi w:val="0"/>
              <w:spacing w:after="0" w:line="440" w:lineRule="exact"/>
              <w:jc w:val="both"/>
              <w:textAlignment w:val="auto"/>
              <w:rPr>
                <w:rFonts w:ascii="宋体" w:hAnsi="宋体"/>
                <w:color w:val="auto"/>
                <w:sz w:val="24"/>
                <w:szCs w:val="24"/>
                <w:highlight w:val="none"/>
              </w:rPr>
            </w:pPr>
            <w:r>
              <w:rPr>
                <w:rFonts w:hint="eastAsia" w:ascii="宋体" w:hAnsi="宋体"/>
                <w:color w:val="auto"/>
                <w:sz w:val="24"/>
                <w:szCs w:val="24"/>
                <w:highlight w:val="none"/>
                <w:lang w:val="zh-CN"/>
              </w:rPr>
              <w:t>提</w:t>
            </w:r>
            <w:r>
              <w:rPr>
                <w:rFonts w:hint="eastAsia" w:ascii="宋体" w:hAnsi="宋体"/>
                <w:color w:val="auto"/>
                <w:sz w:val="24"/>
                <w:szCs w:val="24"/>
                <w:highlight w:val="none"/>
              </w:rPr>
              <w:t>供具备足够数量的设施设备的证明材料；</w:t>
            </w:r>
          </w:p>
          <w:p w14:paraId="39D9EE5B">
            <w:pPr>
              <w:keepNext w:val="0"/>
              <w:keepLines w:val="0"/>
              <w:pageBreakBefore w:val="0"/>
              <w:widowControl w:val="0"/>
              <w:numPr>
                <w:ilvl w:val="0"/>
                <w:numId w:val="52"/>
              </w:numPr>
              <w:kinsoku/>
              <w:wordWrap/>
              <w:overflowPunct/>
              <w:topLinePunct w:val="0"/>
              <w:autoSpaceDE/>
              <w:autoSpaceDN/>
              <w:bidi w:val="0"/>
              <w:spacing w:after="0" w:line="440" w:lineRule="exact"/>
              <w:jc w:val="both"/>
              <w:textAlignment w:val="auto"/>
              <w:rPr>
                <w:rFonts w:ascii="宋体" w:hAnsi="宋体"/>
                <w:color w:val="auto"/>
                <w:sz w:val="24"/>
                <w:szCs w:val="24"/>
                <w:highlight w:val="none"/>
                <w:lang w:val="zh-CN"/>
              </w:rPr>
            </w:pPr>
            <w:r>
              <w:rPr>
                <w:rFonts w:hint="eastAsia" w:ascii="宋体" w:hAnsi="宋体"/>
                <w:color w:val="auto"/>
                <w:sz w:val="24"/>
                <w:szCs w:val="24"/>
                <w:highlight w:val="none"/>
                <w:lang w:val="zh-CN"/>
              </w:rPr>
              <w:t>提供具备足够数量的技术人员的证明材料。</w:t>
            </w:r>
          </w:p>
        </w:tc>
      </w:tr>
      <w:tr w14:paraId="049F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continue"/>
            <w:vAlign w:val="center"/>
          </w:tcPr>
          <w:p w14:paraId="41259FF9">
            <w:pPr>
              <w:keepNext w:val="0"/>
              <w:keepLines w:val="0"/>
              <w:pageBreakBefore w:val="0"/>
              <w:widowControl w:val="0"/>
              <w:tabs>
                <w:tab w:val="left" w:pos="616"/>
              </w:tabs>
              <w:kinsoku/>
              <w:wordWrap/>
              <w:overflowPunct/>
              <w:topLinePunct w:val="0"/>
              <w:autoSpaceDE/>
              <w:autoSpaceDN/>
              <w:bidi w:val="0"/>
              <w:snapToGrid w:val="0"/>
              <w:spacing w:after="0" w:line="440" w:lineRule="exact"/>
              <w:jc w:val="center"/>
              <w:textAlignment w:val="auto"/>
              <w:rPr>
                <w:rFonts w:ascii="宋体" w:hAnsi="宋体"/>
                <w:b/>
                <w:color w:val="auto"/>
                <w:sz w:val="24"/>
                <w:szCs w:val="24"/>
                <w:highlight w:val="none"/>
                <w:lang w:val="zh-CN"/>
              </w:rPr>
            </w:pPr>
          </w:p>
        </w:tc>
        <w:tc>
          <w:tcPr>
            <w:tcW w:w="850" w:type="dxa"/>
            <w:vMerge w:val="continue"/>
          </w:tcPr>
          <w:p w14:paraId="5B76F34A">
            <w:pPr>
              <w:keepNext w:val="0"/>
              <w:keepLines w:val="0"/>
              <w:pageBreakBefore w:val="0"/>
              <w:widowControl w:val="0"/>
              <w:tabs>
                <w:tab w:val="left" w:pos="616"/>
              </w:tabs>
              <w:kinsoku/>
              <w:wordWrap/>
              <w:overflowPunct/>
              <w:topLinePunct w:val="0"/>
              <w:autoSpaceDE/>
              <w:autoSpaceDN/>
              <w:bidi w:val="0"/>
              <w:snapToGrid w:val="0"/>
              <w:spacing w:after="0" w:line="440" w:lineRule="exact"/>
              <w:jc w:val="both"/>
              <w:textAlignment w:val="auto"/>
              <w:rPr>
                <w:rFonts w:ascii="宋体" w:hAnsi="宋体"/>
                <w:b/>
                <w:color w:val="auto"/>
                <w:sz w:val="24"/>
                <w:szCs w:val="24"/>
                <w:highlight w:val="none"/>
                <w:lang w:val="zh-CN"/>
              </w:rPr>
            </w:pPr>
          </w:p>
        </w:tc>
        <w:tc>
          <w:tcPr>
            <w:tcW w:w="2179" w:type="dxa"/>
            <w:vAlign w:val="center"/>
          </w:tcPr>
          <w:p w14:paraId="7D6043EF">
            <w:pPr>
              <w:keepNext w:val="0"/>
              <w:keepLines w:val="0"/>
              <w:pageBreakBefore w:val="0"/>
              <w:widowControl w:val="0"/>
              <w:kinsoku/>
              <w:wordWrap/>
              <w:overflowPunct/>
              <w:topLinePunct w:val="0"/>
              <w:autoSpaceDE/>
              <w:autoSpaceDN/>
              <w:bidi w:val="0"/>
              <w:adjustRightInd w:val="0"/>
              <w:snapToGrid w:val="0"/>
              <w:spacing w:after="0" w:line="440" w:lineRule="exact"/>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1.4 有依法缴纳税收和社会保障资金的良好记录；</w:t>
            </w:r>
          </w:p>
        </w:tc>
        <w:tc>
          <w:tcPr>
            <w:tcW w:w="5404" w:type="dxa"/>
            <w:vAlign w:val="center"/>
          </w:tcPr>
          <w:p w14:paraId="7AAC8EA1">
            <w:pPr>
              <w:keepNext w:val="0"/>
              <w:keepLines w:val="0"/>
              <w:pageBreakBefore w:val="0"/>
              <w:widowControl w:val="0"/>
              <w:numPr>
                <w:ilvl w:val="0"/>
                <w:numId w:val="0"/>
              </w:numPr>
              <w:kinsoku/>
              <w:wordWrap/>
              <w:overflowPunct/>
              <w:topLinePunct w:val="0"/>
              <w:autoSpaceDE/>
              <w:autoSpaceDN/>
              <w:bidi w:val="0"/>
              <w:spacing w:after="0" w:line="440" w:lineRule="exact"/>
              <w:ind w:leftChars="0"/>
              <w:jc w:val="both"/>
              <w:textAlignment w:val="auto"/>
              <w:rPr>
                <w:rFonts w:ascii="宋体" w:hAnsi="宋体"/>
                <w:color w:val="auto"/>
                <w:sz w:val="24"/>
                <w:szCs w:val="24"/>
                <w:highlight w:val="none"/>
              </w:rPr>
            </w:pPr>
            <w:r>
              <w:rPr>
                <w:rFonts w:hint="eastAsia" w:ascii="宋体" w:hAnsi="宋体" w:cs="宋体"/>
                <w:b/>
                <w:bCs/>
                <w:color w:val="auto"/>
                <w:kern w:val="0"/>
                <w:sz w:val="24"/>
                <w:szCs w:val="24"/>
                <w:highlight w:val="none"/>
                <w:lang w:val="en-US" w:eastAsia="zh-CN"/>
              </w:rPr>
              <w:t>供应商</w:t>
            </w:r>
            <w:r>
              <w:rPr>
                <w:rFonts w:hint="eastAsia" w:ascii="宋体" w:hAnsi="宋体" w:eastAsia="宋体" w:cs="宋体"/>
                <w:b/>
                <w:bCs/>
                <w:color w:val="auto"/>
                <w:kern w:val="0"/>
                <w:sz w:val="24"/>
                <w:szCs w:val="24"/>
                <w:highlight w:val="none"/>
              </w:rPr>
              <w:t>提供以下证明材料或者出具的承诺说明。</w:t>
            </w:r>
          </w:p>
          <w:p w14:paraId="0087A7A2">
            <w:pPr>
              <w:keepNext w:val="0"/>
              <w:keepLines w:val="0"/>
              <w:pageBreakBefore w:val="0"/>
              <w:widowControl w:val="0"/>
              <w:numPr>
                <w:ilvl w:val="0"/>
                <w:numId w:val="53"/>
              </w:numPr>
              <w:kinsoku/>
              <w:wordWrap/>
              <w:overflowPunct/>
              <w:topLinePunct w:val="0"/>
              <w:autoSpaceDE/>
              <w:autoSpaceDN/>
              <w:bidi w:val="0"/>
              <w:spacing w:after="0" w:line="440" w:lineRule="exact"/>
              <w:jc w:val="both"/>
              <w:textAlignment w:val="auto"/>
              <w:rPr>
                <w:rFonts w:ascii="宋体" w:hAnsi="宋体"/>
                <w:color w:val="auto"/>
                <w:sz w:val="24"/>
                <w:szCs w:val="24"/>
                <w:highlight w:val="none"/>
              </w:rPr>
            </w:pPr>
            <w:r>
              <w:rPr>
                <w:rFonts w:hint="eastAsia" w:ascii="宋体" w:hAnsi="宋体"/>
                <w:color w:val="auto"/>
                <w:sz w:val="24"/>
                <w:szCs w:val="24"/>
                <w:highlight w:val="none"/>
                <w:lang w:val="zh-CN"/>
              </w:rPr>
              <w:t>提供供应商近</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lang w:val="zh-CN"/>
              </w:rPr>
              <w:t>个月</w:t>
            </w:r>
            <w:r>
              <w:rPr>
                <w:rFonts w:ascii="宋体" w:hAnsi="宋体"/>
                <w:color w:val="auto"/>
                <w:sz w:val="24"/>
                <w:szCs w:val="24"/>
                <w:highlight w:val="none"/>
                <w:lang w:val="zh-CN"/>
              </w:rPr>
              <w:t>内任意</w:t>
            </w:r>
            <w:r>
              <w:rPr>
                <w:rFonts w:hint="eastAsia" w:ascii="宋体" w:hAnsi="宋体"/>
                <w:color w:val="auto"/>
                <w:sz w:val="24"/>
                <w:szCs w:val="24"/>
                <w:highlight w:val="none"/>
                <w:lang w:val="zh-CN"/>
              </w:rPr>
              <w:t>1</w:t>
            </w:r>
            <w:r>
              <w:rPr>
                <w:rFonts w:ascii="宋体" w:hAnsi="宋体"/>
                <w:color w:val="auto"/>
                <w:sz w:val="24"/>
                <w:szCs w:val="24"/>
                <w:highlight w:val="none"/>
                <w:lang w:val="zh-CN"/>
              </w:rPr>
              <w:t>个月</w:t>
            </w:r>
            <w:r>
              <w:rPr>
                <w:rFonts w:hint="eastAsia" w:ascii="宋体" w:hAnsi="宋体"/>
                <w:color w:val="auto"/>
                <w:sz w:val="24"/>
                <w:szCs w:val="24"/>
                <w:highlight w:val="none"/>
                <w:lang w:val="zh-CN"/>
              </w:rPr>
              <w:t>依法缴纳</w:t>
            </w:r>
            <w:r>
              <w:rPr>
                <w:rFonts w:hint="eastAsia" w:ascii="宋体" w:hAnsi="宋体"/>
                <w:color w:val="auto"/>
                <w:sz w:val="24"/>
                <w:szCs w:val="24"/>
                <w:highlight w:val="none"/>
              </w:rPr>
              <w:t>税收的凭据（完税证、缴款书、银行代扣（代缴）转账凭证等均可）；</w:t>
            </w:r>
          </w:p>
          <w:p w14:paraId="6F36A03B">
            <w:pPr>
              <w:keepNext w:val="0"/>
              <w:keepLines w:val="0"/>
              <w:pageBreakBefore w:val="0"/>
              <w:widowControl w:val="0"/>
              <w:numPr>
                <w:ilvl w:val="0"/>
                <w:numId w:val="53"/>
              </w:numPr>
              <w:kinsoku/>
              <w:wordWrap/>
              <w:overflowPunct/>
              <w:topLinePunct w:val="0"/>
              <w:autoSpaceDE/>
              <w:autoSpaceDN/>
              <w:bidi w:val="0"/>
              <w:spacing w:after="0" w:line="440" w:lineRule="exact"/>
              <w:jc w:val="both"/>
              <w:textAlignment w:val="auto"/>
              <w:rPr>
                <w:rFonts w:ascii="宋体" w:hAnsi="宋体"/>
                <w:color w:val="auto"/>
                <w:sz w:val="24"/>
                <w:szCs w:val="24"/>
                <w:highlight w:val="none"/>
              </w:rPr>
            </w:pPr>
            <w:r>
              <w:rPr>
                <w:rFonts w:hint="eastAsia" w:ascii="宋体" w:hAnsi="宋体"/>
                <w:color w:val="auto"/>
                <w:sz w:val="24"/>
                <w:szCs w:val="24"/>
                <w:highlight w:val="none"/>
              </w:rPr>
              <w:t>提供供应商</w:t>
            </w:r>
            <w:r>
              <w:rPr>
                <w:rFonts w:hint="eastAsia" w:ascii="宋体" w:hAnsi="宋体"/>
                <w:color w:val="auto"/>
                <w:sz w:val="24"/>
                <w:szCs w:val="24"/>
                <w:highlight w:val="none"/>
                <w:lang w:val="zh-CN"/>
              </w:rPr>
              <w:t>近</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lang w:val="zh-CN"/>
              </w:rPr>
              <w:t>个月</w:t>
            </w:r>
            <w:r>
              <w:rPr>
                <w:rFonts w:ascii="宋体" w:hAnsi="宋体"/>
                <w:color w:val="auto"/>
                <w:sz w:val="24"/>
                <w:szCs w:val="24"/>
                <w:highlight w:val="none"/>
                <w:lang w:val="zh-CN"/>
              </w:rPr>
              <w:t>内任意</w:t>
            </w:r>
            <w:r>
              <w:rPr>
                <w:rFonts w:hint="eastAsia" w:ascii="宋体" w:hAnsi="宋体"/>
                <w:color w:val="auto"/>
                <w:sz w:val="24"/>
                <w:szCs w:val="24"/>
                <w:highlight w:val="none"/>
                <w:lang w:val="zh-CN"/>
              </w:rPr>
              <w:t>1</w:t>
            </w:r>
            <w:r>
              <w:rPr>
                <w:rFonts w:ascii="宋体" w:hAnsi="宋体"/>
                <w:color w:val="auto"/>
                <w:sz w:val="24"/>
                <w:szCs w:val="24"/>
                <w:highlight w:val="none"/>
                <w:lang w:val="zh-CN"/>
              </w:rPr>
              <w:t>个月</w:t>
            </w:r>
            <w:r>
              <w:rPr>
                <w:rFonts w:hint="eastAsia" w:ascii="宋体" w:hAnsi="宋体"/>
                <w:color w:val="auto"/>
                <w:sz w:val="24"/>
                <w:szCs w:val="24"/>
                <w:highlight w:val="none"/>
              </w:rPr>
              <w:t>依法缴纳社会保障资金的凭据（专用收据、银行代扣（代缴）转账凭证或社会保险交纳清单）；</w:t>
            </w:r>
          </w:p>
          <w:p w14:paraId="27ABCB36">
            <w:pPr>
              <w:keepNext w:val="0"/>
              <w:keepLines w:val="0"/>
              <w:pageBreakBefore w:val="0"/>
              <w:widowControl w:val="0"/>
              <w:numPr>
                <w:ilvl w:val="0"/>
                <w:numId w:val="53"/>
              </w:numPr>
              <w:kinsoku/>
              <w:wordWrap/>
              <w:overflowPunct/>
              <w:topLinePunct w:val="0"/>
              <w:autoSpaceDE/>
              <w:autoSpaceDN/>
              <w:bidi w:val="0"/>
              <w:snapToGrid w:val="0"/>
              <w:spacing w:after="0" w:line="440" w:lineRule="exact"/>
              <w:jc w:val="both"/>
              <w:textAlignment w:val="auto"/>
              <w:rPr>
                <w:rFonts w:ascii="宋体" w:hAnsi="宋体"/>
                <w:color w:val="auto"/>
                <w:sz w:val="24"/>
                <w:szCs w:val="24"/>
                <w:highlight w:val="none"/>
                <w:lang w:val="zh-CN"/>
              </w:rPr>
            </w:pPr>
            <w:r>
              <w:rPr>
                <w:rFonts w:hint="eastAsia" w:ascii="宋体" w:hAnsi="宋体"/>
                <w:color w:val="auto"/>
                <w:sz w:val="24"/>
                <w:szCs w:val="24"/>
                <w:highlight w:val="none"/>
              </w:rPr>
              <w:t>依法免税或不需要缴纳社会保障资金的供应商，应提供相应文件证明其依法</w:t>
            </w:r>
            <w:r>
              <w:rPr>
                <w:rFonts w:hint="eastAsia" w:ascii="宋体" w:hAnsi="宋体"/>
                <w:color w:val="auto"/>
                <w:sz w:val="24"/>
                <w:szCs w:val="24"/>
                <w:highlight w:val="none"/>
                <w:lang w:val="zh-CN"/>
              </w:rPr>
              <w:t>免税或不需要交纳社会保障资金。</w:t>
            </w:r>
          </w:p>
        </w:tc>
      </w:tr>
      <w:tr w14:paraId="5F86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continue"/>
            <w:vAlign w:val="center"/>
          </w:tcPr>
          <w:p w14:paraId="7BC8BB1D">
            <w:pPr>
              <w:keepNext w:val="0"/>
              <w:keepLines w:val="0"/>
              <w:pageBreakBefore w:val="0"/>
              <w:widowControl w:val="0"/>
              <w:tabs>
                <w:tab w:val="left" w:pos="616"/>
              </w:tabs>
              <w:kinsoku/>
              <w:wordWrap/>
              <w:overflowPunct/>
              <w:topLinePunct w:val="0"/>
              <w:autoSpaceDE/>
              <w:autoSpaceDN/>
              <w:bidi w:val="0"/>
              <w:snapToGrid w:val="0"/>
              <w:spacing w:after="0" w:line="440" w:lineRule="exact"/>
              <w:jc w:val="center"/>
              <w:textAlignment w:val="auto"/>
              <w:rPr>
                <w:rFonts w:ascii="宋体" w:hAnsi="宋体"/>
                <w:b/>
                <w:color w:val="auto"/>
                <w:sz w:val="24"/>
                <w:szCs w:val="24"/>
                <w:highlight w:val="none"/>
                <w:lang w:val="zh-CN"/>
              </w:rPr>
            </w:pPr>
          </w:p>
        </w:tc>
        <w:tc>
          <w:tcPr>
            <w:tcW w:w="850" w:type="dxa"/>
            <w:vMerge w:val="continue"/>
          </w:tcPr>
          <w:p w14:paraId="5EBF4A0F">
            <w:pPr>
              <w:keepNext w:val="0"/>
              <w:keepLines w:val="0"/>
              <w:pageBreakBefore w:val="0"/>
              <w:widowControl w:val="0"/>
              <w:tabs>
                <w:tab w:val="left" w:pos="616"/>
              </w:tabs>
              <w:kinsoku/>
              <w:wordWrap/>
              <w:overflowPunct/>
              <w:topLinePunct w:val="0"/>
              <w:autoSpaceDE/>
              <w:autoSpaceDN/>
              <w:bidi w:val="0"/>
              <w:snapToGrid w:val="0"/>
              <w:spacing w:after="0" w:line="440" w:lineRule="exact"/>
              <w:jc w:val="both"/>
              <w:textAlignment w:val="auto"/>
              <w:rPr>
                <w:rFonts w:ascii="宋体" w:hAnsi="宋体"/>
                <w:b/>
                <w:color w:val="auto"/>
                <w:sz w:val="24"/>
                <w:szCs w:val="24"/>
                <w:highlight w:val="none"/>
                <w:lang w:val="zh-CN"/>
              </w:rPr>
            </w:pPr>
          </w:p>
        </w:tc>
        <w:tc>
          <w:tcPr>
            <w:tcW w:w="2179" w:type="dxa"/>
            <w:vAlign w:val="center"/>
          </w:tcPr>
          <w:p w14:paraId="6B890B78">
            <w:pPr>
              <w:keepNext w:val="0"/>
              <w:keepLines w:val="0"/>
              <w:pageBreakBefore w:val="0"/>
              <w:widowControl w:val="0"/>
              <w:kinsoku/>
              <w:wordWrap/>
              <w:overflowPunct/>
              <w:topLinePunct w:val="0"/>
              <w:autoSpaceDE/>
              <w:autoSpaceDN/>
              <w:bidi w:val="0"/>
              <w:adjustRightInd w:val="0"/>
              <w:snapToGrid w:val="0"/>
              <w:spacing w:after="0" w:line="440" w:lineRule="exact"/>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1.5参加政府采购活动前三年内，在经营活动中没有重大违法记录；</w:t>
            </w:r>
          </w:p>
        </w:tc>
        <w:tc>
          <w:tcPr>
            <w:tcW w:w="5404" w:type="dxa"/>
            <w:vAlign w:val="center"/>
          </w:tcPr>
          <w:p w14:paraId="0389FBA0">
            <w:pPr>
              <w:keepNext w:val="0"/>
              <w:keepLines w:val="0"/>
              <w:pageBreakBefore w:val="0"/>
              <w:widowControl w:val="0"/>
              <w:tabs>
                <w:tab w:val="left" w:pos="616"/>
              </w:tabs>
              <w:kinsoku/>
              <w:wordWrap/>
              <w:overflowPunct/>
              <w:topLinePunct w:val="0"/>
              <w:autoSpaceDE/>
              <w:autoSpaceDN/>
              <w:bidi w:val="0"/>
              <w:snapToGrid w:val="0"/>
              <w:spacing w:after="0" w:line="440" w:lineRule="exact"/>
              <w:jc w:val="both"/>
              <w:textAlignment w:val="auto"/>
              <w:rPr>
                <w:rFonts w:ascii="宋体" w:hAnsi="宋体"/>
                <w:color w:val="auto"/>
                <w:sz w:val="24"/>
                <w:szCs w:val="24"/>
                <w:highlight w:val="none"/>
              </w:rPr>
            </w:pPr>
            <w:r>
              <w:rPr>
                <w:rFonts w:hint="eastAsia" w:ascii="宋体" w:hAnsi="宋体"/>
                <w:color w:val="auto"/>
                <w:sz w:val="24"/>
                <w:szCs w:val="24"/>
                <w:highlight w:val="none"/>
              </w:rPr>
              <w:t>提供</w:t>
            </w:r>
            <w:r>
              <w:rPr>
                <w:rFonts w:ascii="宋体" w:hAnsi="宋体"/>
                <w:color w:val="auto"/>
                <w:sz w:val="24"/>
                <w:szCs w:val="24"/>
                <w:highlight w:val="none"/>
              </w:rPr>
              <w:t>无</w:t>
            </w:r>
            <w:r>
              <w:rPr>
                <w:rFonts w:hint="eastAsia" w:ascii="宋体" w:hAnsi="宋体" w:cs="宋体"/>
                <w:color w:val="auto"/>
                <w:sz w:val="24"/>
                <w:szCs w:val="24"/>
                <w:highlight w:val="none"/>
              </w:rPr>
              <w:t>重大违法记录声明函</w:t>
            </w:r>
          </w:p>
        </w:tc>
      </w:tr>
      <w:tr w14:paraId="56BF0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continue"/>
            <w:vAlign w:val="center"/>
          </w:tcPr>
          <w:p w14:paraId="52935F95">
            <w:pPr>
              <w:keepNext w:val="0"/>
              <w:keepLines w:val="0"/>
              <w:pageBreakBefore w:val="0"/>
              <w:widowControl w:val="0"/>
              <w:tabs>
                <w:tab w:val="left" w:pos="616"/>
              </w:tabs>
              <w:kinsoku/>
              <w:wordWrap/>
              <w:overflowPunct/>
              <w:topLinePunct w:val="0"/>
              <w:autoSpaceDE/>
              <w:autoSpaceDN/>
              <w:bidi w:val="0"/>
              <w:snapToGrid w:val="0"/>
              <w:spacing w:after="0" w:line="440" w:lineRule="exact"/>
              <w:jc w:val="center"/>
              <w:textAlignment w:val="auto"/>
              <w:rPr>
                <w:rFonts w:ascii="宋体" w:hAnsi="宋体"/>
                <w:b/>
                <w:color w:val="auto"/>
                <w:sz w:val="24"/>
                <w:szCs w:val="24"/>
                <w:highlight w:val="none"/>
              </w:rPr>
            </w:pPr>
          </w:p>
        </w:tc>
        <w:tc>
          <w:tcPr>
            <w:tcW w:w="850" w:type="dxa"/>
            <w:vMerge w:val="continue"/>
          </w:tcPr>
          <w:p w14:paraId="7AC6C798">
            <w:pPr>
              <w:keepNext w:val="0"/>
              <w:keepLines w:val="0"/>
              <w:pageBreakBefore w:val="0"/>
              <w:widowControl w:val="0"/>
              <w:tabs>
                <w:tab w:val="left" w:pos="616"/>
              </w:tabs>
              <w:kinsoku/>
              <w:wordWrap/>
              <w:overflowPunct/>
              <w:topLinePunct w:val="0"/>
              <w:autoSpaceDE/>
              <w:autoSpaceDN/>
              <w:bidi w:val="0"/>
              <w:snapToGrid w:val="0"/>
              <w:spacing w:after="0" w:line="440" w:lineRule="exact"/>
              <w:jc w:val="both"/>
              <w:textAlignment w:val="auto"/>
              <w:rPr>
                <w:rFonts w:ascii="宋体" w:hAnsi="宋体"/>
                <w:b/>
                <w:color w:val="auto"/>
                <w:sz w:val="24"/>
                <w:szCs w:val="24"/>
                <w:highlight w:val="none"/>
              </w:rPr>
            </w:pPr>
          </w:p>
        </w:tc>
        <w:tc>
          <w:tcPr>
            <w:tcW w:w="2179" w:type="dxa"/>
            <w:vAlign w:val="center"/>
          </w:tcPr>
          <w:p w14:paraId="36E404B6">
            <w:pPr>
              <w:keepNext w:val="0"/>
              <w:keepLines w:val="0"/>
              <w:pageBreakBefore w:val="0"/>
              <w:widowControl w:val="0"/>
              <w:kinsoku/>
              <w:wordWrap/>
              <w:overflowPunct/>
              <w:topLinePunct w:val="0"/>
              <w:autoSpaceDE/>
              <w:autoSpaceDN/>
              <w:bidi w:val="0"/>
              <w:adjustRightInd w:val="0"/>
              <w:snapToGrid w:val="0"/>
              <w:spacing w:after="0" w:line="440" w:lineRule="exact"/>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1.6 法律、行政法规规定的其他条件。</w:t>
            </w:r>
          </w:p>
        </w:tc>
        <w:tc>
          <w:tcPr>
            <w:tcW w:w="5404" w:type="dxa"/>
            <w:vAlign w:val="center"/>
          </w:tcPr>
          <w:p w14:paraId="64958292">
            <w:pPr>
              <w:keepNext w:val="0"/>
              <w:keepLines w:val="0"/>
              <w:pageBreakBefore w:val="0"/>
              <w:widowControl w:val="0"/>
              <w:tabs>
                <w:tab w:val="left" w:pos="616"/>
              </w:tabs>
              <w:kinsoku/>
              <w:wordWrap/>
              <w:overflowPunct/>
              <w:topLinePunct w:val="0"/>
              <w:autoSpaceDE/>
              <w:autoSpaceDN/>
              <w:bidi w:val="0"/>
              <w:snapToGrid w:val="0"/>
              <w:spacing w:after="0" w:line="440" w:lineRule="exact"/>
              <w:jc w:val="both"/>
              <w:textAlignment w:val="auto"/>
              <w:rPr>
                <w:rFonts w:ascii="宋体" w:hAnsi="宋体"/>
                <w:color w:val="auto"/>
                <w:sz w:val="24"/>
                <w:szCs w:val="24"/>
                <w:highlight w:val="none"/>
                <w:lang w:val="zh-CN"/>
              </w:rPr>
            </w:pPr>
            <w:r>
              <w:rPr>
                <w:rFonts w:hint="eastAsia" w:ascii="宋体" w:hAnsi="宋体"/>
                <w:color w:val="auto"/>
                <w:sz w:val="24"/>
                <w:szCs w:val="24"/>
                <w:highlight w:val="none"/>
                <w:lang w:val="zh-CN"/>
              </w:rPr>
              <w:t>国家对生产和销售相关产品或提供相关服务有专门法律、行政法规规定的，则必须提供取得国家有关主管部门行政许可的证明材料（</w:t>
            </w:r>
            <w:r>
              <w:rPr>
                <w:rFonts w:hint="eastAsia" w:ascii="宋体" w:hAnsi="宋体"/>
                <w:i/>
                <w:color w:val="auto"/>
                <w:sz w:val="24"/>
                <w:szCs w:val="24"/>
                <w:highlight w:val="none"/>
                <w:lang w:val="zh-CN"/>
              </w:rPr>
              <w:t>如无</w:t>
            </w:r>
            <w:r>
              <w:rPr>
                <w:rFonts w:ascii="宋体" w:hAnsi="宋体"/>
                <w:i/>
                <w:color w:val="auto"/>
                <w:sz w:val="24"/>
                <w:szCs w:val="24"/>
                <w:highlight w:val="none"/>
                <w:lang w:val="zh-CN"/>
              </w:rPr>
              <w:t>相关规定</w:t>
            </w:r>
            <w:r>
              <w:rPr>
                <w:rFonts w:hint="eastAsia" w:ascii="宋体" w:hAnsi="宋体"/>
                <w:i/>
                <w:color w:val="auto"/>
                <w:sz w:val="24"/>
                <w:szCs w:val="24"/>
                <w:highlight w:val="none"/>
                <w:lang w:val="zh-CN"/>
              </w:rPr>
              <w:t>则无需提供</w:t>
            </w:r>
            <w:r>
              <w:rPr>
                <w:rFonts w:hint="eastAsia" w:ascii="宋体" w:hAnsi="宋体"/>
                <w:color w:val="auto"/>
                <w:sz w:val="24"/>
                <w:szCs w:val="24"/>
                <w:highlight w:val="none"/>
                <w:lang w:val="zh-CN"/>
              </w:rPr>
              <w:t>）。</w:t>
            </w:r>
          </w:p>
        </w:tc>
      </w:tr>
      <w:tr w14:paraId="7D57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7A7CA29A">
            <w:pPr>
              <w:keepNext w:val="0"/>
              <w:keepLines w:val="0"/>
              <w:pageBreakBefore w:val="0"/>
              <w:widowControl w:val="0"/>
              <w:kinsoku/>
              <w:wordWrap/>
              <w:overflowPunct/>
              <w:topLinePunct w:val="0"/>
              <w:autoSpaceDE/>
              <w:autoSpaceDN/>
              <w:bidi w:val="0"/>
              <w:adjustRightInd w:val="0"/>
              <w:snapToGrid w:val="0"/>
              <w:spacing w:after="0" w:line="440" w:lineRule="exact"/>
              <w:ind w:left="180" w:hanging="240" w:hangingChars="100"/>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3029" w:type="dxa"/>
            <w:gridSpan w:val="2"/>
            <w:vAlign w:val="center"/>
          </w:tcPr>
          <w:p w14:paraId="1A76D859">
            <w:pPr>
              <w:keepNext w:val="0"/>
              <w:keepLines w:val="0"/>
              <w:pageBreakBefore w:val="0"/>
              <w:widowControl w:val="0"/>
              <w:kinsoku/>
              <w:wordWrap/>
              <w:overflowPunct/>
              <w:topLinePunct w:val="0"/>
              <w:autoSpaceDE/>
              <w:autoSpaceDN/>
              <w:bidi w:val="0"/>
              <w:snapToGrid w:val="0"/>
              <w:spacing w:after="0" w:line="440" w:lineRule="exact"/>
              <w:jc w:val="both"/>
              <w:textAlignment w:val="auto"/>
              <w:rPr>
                <w:rFonts w:ascii="宋体" w:hAnsi="宋体"/>
                <w:color w:val="auto"/>
                <w:sz w:val="24"/>
                <w:szCs w:val="24"/>
                <w:highlight w:val="none"/>
              </w:rPr>
            </w:pPr>
            <w:r>
              <w:rPr>
                <w:rFonts w:hint="eastAsia" w:ascii="宋体" w:hAnsi="宋体"/>
                <w:color w:val="auto"/>
                <w:sz w:val="24"/>
                <w:szCs w:val="24"/>
                <w:highlight w:val="none"/>
              </w:rPr>
              <w:t>未被列入失信被执行人、重大税收违法失信主体、严重失信主体名单查询</w:t>
            </w:r>
          </w:p>
        </w:tc>
        <w:tc>
          <w:tcPr>
            <w:tcW w:w="5404" w:type="dxa"/>
            <w:vAlign w:val="center"/>
          </w:tcPr>
          <w:p w14:paraId="5C567F1C">
            <w:pPr>
              <w:keepNext w:val="0"/>
              <w:keepLines w:val="0"/>
              <w:pageBreakBefore w:val="0"/>
              <w:widowControl w:val="0"/>
              <w:kinsoku/>
              <w:wordWrap/>
              <w:overflowPunct/>
              <w:topLinePunct w:val="0"/>
              <w:autoSpaceDE/>
              <w:autoSpaceDN/>
              <w:bidi w:val="0"/>
              <w:snapToGrid w:val="0"/>
              <w:spacing w:after="0" w:line="440" w:lineRule="exact"/>
              <w:jc w:val="both"/>
              <w:textAlignment w:val="auto"/>
              <w:rPr>
                <w:rFonts w:ascii="宋体" w:hAnsi="宋体"/>
                <w:color w:val="auto"/>
                <w:sz w:val="24"/>
                <w:szCs w:val="24"/>
                <w:highlight w:val="none"/>
              </w:rPr>
            </w:pPr>
            <w:r>
              <w:rPr>
                <w:rFonts w:hint="eastAsia" w:ascii="宋体" w:hAnsi="宋体"/>
                <w:color w:val="auto"/>
                <w:sz w:val="24"/>
                <w:szCs w:val="24"/>
                <w:highlight w:val="none"/>
              </w:rPr>
              <w:t>以采购代理机构在响应截止日在“信用中国”网站（www.creditchina.gov.cn）查询的结果为准</w:t>
            </w:r>
          </w:p>
        </w:tc>
      </w:tr>
      <w:tr w14:paraId="6A5D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16206757">
            <w:pPr>
              <w:keepNext w:val="0"/>
              <w:keepLines w:val="0"/>
              <w:pageBreakBefore w:val="0"/>
              <w:widowControl w:val="0"/>
              <w:kinsoku/>
              <w:wordWrap/>
              <w:overflowPunct/>
              <w:topLinePunct w:val="0"/>
              <w:autoSpaceDE/>
              <w:autoSpaceDN/>
              <w:bidi w:val="0"/>
              <w:adjustRightInd w:val="0"/>
              <w:snapToGrid w:val="0"/>
              <w:spacing w:after="0" w:line="440" w:lineRule="exact"/>
              <w:ind w:left="180" w:hanging="240" w:hangingChars="100"/>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3029" w:type="dxa"/>
            <w:gridSpan w:val="2"/>
            <w:vAlign w:val="center"/>
          </w:tcPr>
          <w:p w14:paraId="7429356A">
            <w:pPr>
              <w:keepNext w:val="0"/>
              <w:keepLines w:val="0"/>
              <w:pageBreakBefore w:val="0"/>
              <w:widowControl w:val="0"/>
              <w:kinsoku/>
              <w:wordWrap/>
              <w:overflowPunct/>
              <w:topLinePunct w:val="0"/>
              <w:autoSpaceDE/>
              <w:autoSpaceDN/>
              <w:bidi w:val="0"/>
              <w:snapToGrid w:val="0"/>
              <w:spacing w:after="0" w:line="440" w:lineRule="exact"/>
              <w:jc w:val="both"/>
              <w:textAlignment w:val="auto"/>
              <w:rPr>
                <w:rFonts w:ascii="宋体" w:hAnsi="宋体"/>
                <w:color w:val="auto"/>
                <w:sz w:val="24"/>
                <w:szCs w:val="24"/>
                <w:highlight w:val="none"/>
              </w:rPr>
            </w:pPr>
            <w:r>
              <w:rPr>
                <w:rFonts w:hint="eastAsia" w:ascii="宋体" w:hAnsi="宋体"/>
                <w:color w:val="auto"/>
                <w:sz w:val="24"/>
                <w:szCs w:val="24"/>
                <w:highlight w:val="none"/>
              </w:rPr>
              <w:t>不存在单位负责人为同一人或者存在直接控股、管理关系的不同供应商，参加本项目同一合同项下的政府采购活动情况。不存在为本采购项目提供整体设计、规范编制或者项目管理、监理、检测等服务的，再参加本项目的其他招标采购活动情况。</w:t>
            </w:r>
          </w:p>
        </w:tc>
        <w:tc>
          <w:tcPr>
            <w:tcW w:w="5404" w:type="dxa"/>
            <w:vAlign w:val="center"/>
          </w:tcPr>
          <w:p w14:paraId="6BF32847">
            <w:pPr>
              <w:keepNext w:val="0"/>
              <w:keepLines w:val="0"/>
              <w:pageBreakBefore w:val="0"/>
              <w:widowControl w:val="0"/>
              <w:tabs>
                <w:tab w:val="left" w:pos="616"/>
              </w:tabs>
              <w:kinsoku/>
              <w:wordWrap/>
              <w:overflowPunct/>
              <w:topLinePunct w:val="0"/>
              <w:autoSpaceDE/>
              <w:autoSpaceDN/>
              <w:bidi w:val="0"/>
              <w:snapToGrid w:val="0"/>
              <w:spacing w:after="0" w:line="440" w:lineRule="exact"/>
              <w:jc w:val="both"/>
              <w:textAlignment w:val="auto"/>
              <w:rPr>
                <w:rFonts w:ascii="宋体" w:hAnsi="宋体"/>
                <w:color w:val="auto"/>
                <w:sz w:val="24"/>
                <w:szCs w:val="24"/>
                <w:highlight w:val="none"/>
                <w:lang w:val="zh-CN"/>
              </w:rPr>
            </w:pPr>
            <w:r>
              <w:rPr>
                <w:rFonts w:hint="eastAsia" w:ascii="宋体" w:hAnsi="宋体"/>
                <w:color w:val="auto"/>
                <w:sz w:val="24"/>
                <w:szCs w:val="24"/>
                <w:highlight w:val="none"/>
                <w:lang w:val="zh-CN"/>
              </w:rPr>
              <w:t>在《响应承诺函》中声明</w:t>
            </w:r>
          </w:p>
        </w:tc>
      </w:tr>
      <w:tr w14:paraId="1B0B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12AA302E">
            <w:pPr>
              <w:keepNext w:val="0"/>
              <w:keepLines w:val="0"/>
              <w:pageBreakBefore w:val="0"/>
              <w:widowControl w:val="0"/>
              <w:kinsoku/>
              <w:wordWrap/>
              <w:overflowPunct/>
              <w:topLinePunct w:val="0"/>
              <w:autoSpaceDE/>
              <w:autoSpaceDN/>
              <w:bidi w:val="0"/>
              <w:adjustRightInd w:val="0"/>
              <w:snapToGrid w:val="0"/>
              <w:spacing w:after="0" w:line="440" w:lineRule="exact"/>
              <w:ind w:left="180" w:hanging="240" w:hangingChars="100"/>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3029" w:type="dxa"/>
            <w:gridSpan w:val="2"/>
            <w:vAlign w:val="center"/>
          </w:tcPr>
          <w:p w14:paraId="26071A65">
            <w:pPr>
              <w:keepNext w:val="0"/>
              <w:keepLines w:val="0"/>
              <w:pageBreakBefore w:val="0"/>
              <w:widowControl w:val="0"/>
              <w:kinsoku/>
              <w:wordWrap/>
              <w:overflowPunct/>
              <w:topLinePunct w:val="0"/>
              <w:autoSpaceDE/>
              <w:autoSpaceDN/>
              <w:bidi w:val="0"/>
              <w:snapToGrid w:val="0"/>
              <w:spacing w:after="0" w:line="440" w:lineRule="exact"/>
              <w:jc w:val="both"/>
              <w:textAlignment w:val="auto"/>
              <w:rPr>
                <w:rFonts w:ascii="宋体" w:hAnsi="宋体"/>
                <w:color w:val="auto"/>
                <w:sz w:val="24"/>
                <w:szCs w:val="24"/>
                <w:highlight w:val="none"/>
              </w:rPr>
            </w:pPr>
            <w:r>
              <w:rPr>
                <w:rFonts w:hint="eastAsia" w:ascii="宋体" w:hAnsi="宋体"/>
                <w:color w:val="auto"/>
                <w:sz w:val="24"/>
                <w:szCs w:val="24"/>
                <w:highlight w:val="none"/>
              </w:rPr>
              <w:t>符合采购文件第一章第二条对供应商的特定资格要求</w:t>
            </w:r>
          </w:p>
        </w:tc>
        <w:tc>
          <w:tcPr>
            <w:tcW w:w="5404" w:type="dxa"/>
            <w:vAlign w:val="center"/>
          </w:tcPr>
          <w:p w14:paraId="798C6BAE">
            <w:pPr>
              <w:keepNext w:val="0"/>
              <w:keepLines w:val="0"/>
              <w:pageBreakBefore w:val="0"/>
              <w:widowControl w:val="0"/>
              <w:tabs>
                <w:tab w:val="left" w:pos="616"/>
              </w:tabs>
              <w:kinsoku/>
              <w:wordWrap/>
              <w:overflowPunct/>
              <w:topLinePunct w:val="0"/>
              <w:autoSpaceDE/>
              <w:autoSpaceDN/>
              <w:bidi w:val="0"/>
              <w:snapToGrid w:val="0"/>
              <w:spacing w:after="0" w:line="440" w:lineRule="exact"/>
              <w:jc w:val="both"/>
              <w:textAlignment w:val="auto"/>
              <w:rPr>
                <w:rFonts w:ascii="宋体" w:hAnsi="宋体"/>
                <w:color w:val="auto"/>
                <w:sz w:val="24"/>
                <w:szCs w:val="24"/>
                <w:highlight w:val="none"/>
                <w:lang w:val="zh-CN"/>
              </w:rPr>
            </w:pPr>
            <w:r>
              <w:rPr>
                <w:rFonts w:hint="eastAsia" w:ascii="宋体" w:hAnsi="宋体"/>
                <w:color w:val="auto"/>
                <w:sz w:val="24"/>
                <w:szCs w:val="24"/>
                <w:highlight w:val="none"/>
                <w:lang w:val="zh-CN"/>
              </w:rPr>
              <w:t>按采购文件</w:t>
            </w:r>
            <w:r>
              <w:rPr>
                <w:rFonts w:ascii="宋体" w:hAnsi="宋体"/>
                <w:color w:val="auto"/>
                <w:sz w:val="24"/>
                <w:szCs w:val="24"/>
                <w:highlight w:val="none"/>
                <w:lang w:val="zh-CN"/>
              </w:rPr>
              <w:t>要求提供（</w:t>
            </w:r>
            <w:r>
              <w:rPr>
                <w:rFonts w:hint="eastAsia" w:ascii="宋体" w:hAnsi="宋体"/>
                <w:color w:val="auto"/>
                <w:sz w:val="24"/>
                <w:szCs w:val="24"/>
                <w:highlight w:val="none"/>
                <w:lang w:val="zh-CN"/>
              </w:rPr>
              <w:t>如需</w:t>
            </w:r>
            <w:r>
              <w:rPr>
                <w:rFonts w:ascii="宋体" w:hAnsi="宋体"/>
                <w:color w:val="auto"/>
                <w:sz w:val="24"/>
                <w:szCs w:val="24"/>
                <w:highlight w:val="none"/>
                <w:lang w:val="zh-CN"/>
              </w:rPr>
              <w:t>）</w:t>
            </w:r>
          </w:p>
        </w:tc>
      </w:tr>
      <w:tr w14:paraId="0E94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103D8B90">
            <w:pPr>
              <w:keepNext w:val="0"/>
              <w:keepLines w:val="0"/>
              <w:pageBreakBefore w:val="0"/>
              <w:widowControl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5</w:t>
            </w:r>
          </w:p>
        </w:tc>
        <w:tc>
          <w:tcPr>
            <w:tcW w:w="3029" w:type="dxa"/>
            <w:gridSpan w:val="2"/>
            <w:vAlign w:val="center"/>
          </w:tcPr>
          <w:p w14:paraId="241FCB83">
            <w:pPr>
              <w:keepNext w:val="0"/>
              <w:keepLines w:val="0"/>
              <w:pageBreakBefore w:val="0"/>
              <w:widowControl w:val="0"/>
              <w:kinsoku/>
              <w:wordWrap/>
              <w:overflowPunct/>
              <w:topLinePunct w:val="0"/>
              <w:autoSpaceDE/>
              <w:autoSpaceDN/>
              <w:bidi w:val="0"/>
              <w:snapToGrid w:val="0"/>
              <w:spacing w:after="0" w:line="440" w:lineRule="exact"/>
              <w:jc w:val="both"/>
              <w:textAlignment w:val="auto"/>
              <w:rPr>
                <w:rFonts w:ascii="宋体" w:hAnsi="宋体"/>
                <w:color w:val="auto"/>
                <w:sz w:val="24"/>
                <w:szCs w:val="24"/>
                <w:highlight w:val="none"/>
              </w:rPr>
            </w:pPr>
            <w:r>
              <w:rPr>
                <w:rFonts w:hint="eastAsia" w:ascii="宋体" w:hAnsi="宋体"/>
                <w:color w:val="auto"/>
                <w:sz w:val="24"/>
                <w:szCs w:val="24"/>
                <w:highlight w:val="none"/>
              </w:rPr>
              <w:t>符合采购文件对联合体的规定和要求</w:t>
            </w:r>
          </w:p>
        </w:tc>
        <w:tc>
          <w:tcPr>
            <w:tcW w:w="5404" w:type="dxa"/>
            <w:vAlign w:val="center"/>
          </w:tcPr>
          <w:p w14:paraId="72CF1CE8">
            <w:pPr>
              <w:keepNext w:val="0"/>
              <w:keepLines w:val="0"/>
              <w:pageBreakBefore w:val="0"/>
              <w:widowControl w:val="0"/>
              <w:kinsoku/>
              <w:wordWrap/>
              <w:overflowPunct/>
              <w:topLinePunct w:val="0"/>
              <w:autoSpaceDE/>
              <w:autoSpaceDN/>
              <w:bidi w:val="0"/>
              <w:snapToGrid w:val="0"/>
              <w:spacing w:after="0" w:line="440" w:lineRule="exact"/>
              <w:jc w:val="both"/>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本项目不接受联合体响应。</w:t>
            </w:r>
          </w:p>
        </w:tc>
      </w:tr>
      <w:tr w14:paraId="0D84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7E5FAA51">
            <w:pPr>
              <w:keepNext w:val="0"/>
              <w:keepLines w:val="0"/>
              <w:pageBreakBefore w:val="0"/>
              <w:widowControl w:val="0"/>
              <w:tabs>
                <w:tab w:val="left" w:pos="616"/>
              </w:tabs>
              <w:kinsoku/>
              <w:wordWrap/>
              <w:overflowPunct/>
              <w:topLinePunct w:val="0"/>
              <w:autoSpaceDE/>
              <w:autoSpaceDN/>
              <w:bidi w:val="0"/>
              <w:snapToGrid w:val="0"/>
              <w:spacing w:after="0" w:line="440" w:lineRule="exact"/>
              <w:jc w:val="center"/>
              <w:textAlignment w:val="auto"/>
              <w:rPr>
                <w:rFonts w:hint="eastAsia" w:ascii="宋体" w:hAnsi="宋体" w:eastAsia="宋体"/>
                <w:color w:val="auto"/>
                <w:sz w:val="24"/>
                <w:szCs w:val="24"/>
                <w:highlight w:val="none"/>
                <w:lang w:val="zh-CN" w:eastAsia="zh-CN"/>
              </w:rPr>
            </w:pPr>
            <w:r>
              <w:rPr>
                <w:rFonts w:hint="eastAsia" w:ascii="宋体" w:hAnsi="宋体"/>
                <w:color w:val="auto"/>
                <w:sz w:val="24"/>
                <w:szCs w:val="24"/>
                <w:highlight w:val="none"/>
                <w:lang w:val="en-US" w:eastAsia="zh-CN"/>
              </w:rPr>
              <w:t>6</w:t>
            </w:r>
          </w:p>
        </w:tc>
        <w:tc>
          <w:tcPr>
            <w:tcW w:w="3029" w:type="dxa"/>
            <w:gridSpan w:val="2"/>
          </w:tcPr>
          <w:p w14:paraId="3715DFDC">
            <w:pPr>
              <w:keepNext w:val="0"/>
              <w:keepLines w:val="0"/>
              <w:pageBreakBefore w:val="0"/>
              <w:widowControl w:val="0"/>
              <w:kinsoku/>
              <w:wordWrap/>
              <w:overflowPunct/>
              <w:topLinePunct w:val="0"/>
              <w:autoSpaceDE/>
              <w:autoSpaceDN/>
              <w:bidi w:val="0"/>
              <w:snapToGrid w:val="0"/>
              <w:spacing w:after="0" w:line="440" w:lineRule="exact"/>
              <w:jc w:val="both"/>
              <w:textAlignment w:val="auto"/>
              <w:rPr>
                <w:rFonts w:ascii="宋体" w:hAnsi="宋体"/>
                <w:b/>
                <w:color w:val="auto"/>
                <w:sz w:val="24"/>
                <w:szCs w:val="24"/>
                <w:highlight w:val="none"/>
                <w:lang w:val="zh-CN"/>
              </w:rPr>
            </w:pPr>
          </w:p>
        </w:tc>
        <w:tc>
          <w:tcPr>
            <w:tcW w:w="5404" w:type="dxa"/>
            <w:vAlign w:val="center"/>
          </w:tcPr>
          <w:p w14:paraId="5D39CD44">
            <w:pPr>
              <w:keepNext w:val="0"/>
              <w:keepLines w:val="0"/>
              <w:pageBreakBefore w:val="0"/>
              <w:widowControl w:val="0"/>
              <w:tabs>
                <w:tab w:val="left" w:pos="616"/>
              </w:tabs>
              <w:kinsoku/>
              <w:wordWrap/>
              <w:overflowPunct/>
              <w:topLinePunct w:val="0"/>
              <w:autoSpaceDE/>
              <w:autoSpaceDN/>
              <w:bidi w:val="0"/>
              <w:snapToGrid w:val="0"/>
              <w:spacing w:after="0" w:line="440" w:lineRule="exact"/>
              <w:jc w:val="both"/>
              <w:textAlignment w:val="auto"/>
              <w:rPr>
                <w:rFonts w:ascii="宋体" w:hAnsi="宋体"/>
                <w:b/>
                <w:color w:val="auto"/>
                <w:sz w:val="24"/>
                <w:szCs w:val="24"/>
                <w:highlight w:val="none"/>
                <w:lang w:val="zh-CN"/>
              </w:rPr>
            </w:pPr>
            <w:r>
              <w:rPr>
                <w:rFonts w:hint="eastAsia" w:ascii="宋体" w:hAnsi="宋体"/>
                <w:color w:val="auto"/>
                <w:sz w:val="24"/>
                <w:szCs w:val="24"/>
                <w:highlight w:val="none"/>
              </w:rPr>
              <w:t>供应商认为需要提供的其他资格证明材料或情况说明（如有）</w:t>
            </w:r>
          </w:p>
        </w:tc>
      </w:tr>
    </w:tbl>
    <w:p w14:paraId="063D6CEE">
      <w:pPr>
        <w:keepNext w:val="0"/>
        <w:keepLines w:val="0"/>
        <w:pageBreakBefore w:val="0"/>
        <w:widowControl w:val="0"/>
        <w:wordWrap/>
        <w:topLinePunct w:val="0"/>
        <w:autoSpaceDE/>
        <w:autoSpaceDN/>
        <w:bidi w:val="0"/>
        <w:adjustRightInd w:val="0"/>
        <w:spacing w:after="0" w:line="440" w:lineRule="exact"/>
        <w:jc w:val="both"/>
        <w:textAlignment w:val="auto"/>
        <w:rPr>
          <w:rFonts w:ascii="宋体" w:hAnsi="宋体"/>
          <w:color w:val="auto"/>
          <w:sz w:val="24"/>
          <w:szCs w:val="24"/>
          <w:highlight w:val="none"/>
          <w:lang w:val="zh-CN"/>
        </w:rPr>
      </w:pPr>
      <w:r>
        <w:rPr>
          <w:rFonts w:hint="eastAsia" w:ascii="宋体" w:hAnsi="宋体"/>
          <w:color w:val="auto"/>
          <w:sz w:val="24"/>
          <w:szCs w:val="24"/>
          <w:highlight w:val="none"/>
          <w:lang w:val="zh-CN"/>
        </w:rPr>
        <w:t>说明</w:t>
      </w:r>
      <w:r>
        <w:rPr>
          <w:rFonts w:ascii="宋体" w:hAnsi="宋体"/>
          <w:color w:val="auto"/>
          <w:sz w:val="24"/>
          <w:szCs w:val="24"/>
          <w:highlight w:val="none"/>
          <w:lang w:val="zh-CN"/>
        </w:rPr>
        <w:t>：</w:t>
      </w:r>
    </w:p>
    <w:p w14:paraId="7D88A253">
      <w:pPr>
        <w:keepNext w:val="0"/>
        <w:keepLines w:val="0"/>
        <w:pageBreakBefore w:val="0"/>
        <w:widowControl w:val="0"/>
        <w:numPr>
          <w:ilvl w:val="0"/>
          <w:numId w:val="54"/>
        </w:numPr>
        <w:wordWrap/>
        <w:topLinePunct w:val="0"/>
        <w:autoSpaceDE/>
        <w:autoSpaceDN/>
        <w:bidi w:val="0"/>
        <w:adjustRightInd w:val="0"/>
        <w:spacing w:after="0" w:line="440" w:lineRule="exact"/>
        <w:ind w:hanging="243"/>
        <w:contextualSpacing/>
        <w:jc w:val="both"/>
        <w:textAlignment w:val="auto"/>
        <w:rPr>
          <w:rFonts w:ascii="宋体" w:hAnsi="宋体"/>
          <w:color w:val="auto"/>
          <w:sz w:val="24"/>
          <w:szCs w:val="24"/>
          <w:highlight w:val="none"/>
          <w:lang w:val="zh-CN"/>
        </w:rPr>
      </w:pPr>
      <w:r>
        <w:rPr>
          <w:rFonts w:hint="eastAsia" w:ascii="宋体" w:hAnsi="宋体"/>
          <w:color w:val="auto"/>
          <w:sz w:val="24"/>
          <w:szCs w:val="24"/>
          <w:highlight w:val="none"/>
          <w:lang w:val="zh-CN"/>
        </w:rPr>
        <w:t>响应文件中有任意一条不满足上表要求的将导致其响应无效，不进入下一项评审。</w:t>
      </w:r>
    </w:p>
    <w:p w14:paraId="7DC84F5F">
      <w:pPr>
        <w:keepNext w:val="0"/>
        <w:keepLines w:val="0"/>
        <w:pageBreakBefore w:val="0"/>
        <w:widowControl w:val="0"/>
        <w:numPr>
          <w:ilvl w:val="0"/>
          <w:numId w:val="54"/>
        </w:numPr>
        <w:wordWrap/>
        <w:topLinePunct w:val="0"/>
        <w:autoSpaceDE/>
        <w:autoSpaceDN/>
        <w:bidi w:val="0"/>
        <w:adjustRightInd w:val="0"/>
        <w:spacing w:after="0" w:line="440" w:lineRule="exact"/>
        <w:ind w:hanging="243"/>
        <w:contextualSpacing/>
        <w:jc w:val="both"/>
        <w:textAlignment w:val="auto"/>
        <w:rPr>
          <w:rFonts w:ascii="宋体" w:hAnsi="宋体"/>
          <w:color w:val="auto"/>
          <w:kern w:val="2"/>
          <w:sz w:val="24"/>
          <w:szCs w:val="24"/>
          <w:highlight w:val="none"/>
        </w:rPr>
      </w:pPr>
      <w:r>
        <w:rPr>
          <w:rFonts w:hint="eastAsia" w:ascii="宋体" w:hAnsi="宋体"/>
          <w:color w:val="auto"/>
          <w:sz w:val="24"/>
          <w:szCs w:val="24"/>
          <w:highlight w:val="none"/>
          <w:lang w:val="zh-CN"/>
        </w:rPr>
        <w:t>资格审查合格供应商不足3家的，不进行下一步评审。</w:t>
      </w:r>
    </w:p>
    <w:p w14:paraId="0899EE38">
      <w:pPr>
        <w:keepNext w:val="0"/>
        <w:keepLines w:val="0"/>
        <w:pageBreakBefore w:val="0"/>
        <w:widowControl w:val="0"/>
        <w:wordWrap/>
        <w:topLinePunct w:val="0"/>
        <w:autoSpaceDE/>
        <w:autoSpaceDN/>
        <w:bidi w:val="0"/>
        <w:adjustRightInd w:val="0"/>
        <w:spacing w:after="0" w:line="440" w:lineRule="exact"/>
        <w:contextualSpacing/>
        <w:jc w:val="both"/>
        <w:textAlignment w:val="auto"/>
        <w:rPr>
          <w:rFonts w:ascii="宋体" w:hAnsi="宋体"/>
          <w:color w:val="auto"/>
          <w:kern w:val="2"/>
          <w:sz w:val="24"/>
          <w:szCs w:val="24"/>
          <w:highlight w:val="none"/>
        </w:rPr>
      </w:pPr>
    </w:p>
    <w:p w14:paraId="145493D1">
      <w:pPr>
        <w:keepNext w:val="0"/>
        <w:keepLines w:val="0"/>
        <w:pageBreakBefore w:val="0"/>
        <w:widowControl w:val="0"/>
        <w:numPr>
          <w:ilvl w:val="0"/>
          <w:numId w:val="49"/>
        </w:numPr>
        <w:wordWrap/>
        <w:topLinePunct w:val="0"/>
        <w:autoSpaceDE/>
        <w:autoSpaceDN/>
        <w:bidi w:val="0"/>
        <w:spacing w:after="0" w:line="440" w:lineRule="exact"/>
        <w:ind w:left="707" w:hanging="771" w:hangingChars="320"/>
        <w:jc w:val="both"/>
        <w:textAlignment w:val="auto"/>
        <w:rPr>
          <w:rFonts w:ascii="宋体" w:hAnsi="宋体" w:cs="宋体"/>
          <w:b/>
          <w:color w:val="auto"/>
          <w:sz w:val="24"/>
          <w:szCs w:val="24"/>
          <w:highlight w:val="none"/>
        </w:rPr>
      </w:pPr>
      <w:r>
        <w:rPr>
          <w:rFonts w:hint="eastAsia" w:ascii="宋体" w:hAnsi="宋体"/>
          <w:b/>
          <w:color w:val="auto"/>
          <w:sz w:val="24"/>
          <w:szCs w:val="24"/>
          <w:highlight w:val="none"/>
          <w:lang w:val="zh-CN"/>
        </w:rPr>
        <w:t>符合性审查</w:t>
      </w:r>
    </w:p>
    <w:p w14:paraId="0BB7789E">
      <w:pPr>
        <w:keepNext w:val="0"/>
        <w:keepLines w:val="0"/>
        <w:pageBreakBefore w:val="0"/>
        <w:wordWrap/>
        <w:topLinePunct w:val="0"/>
        <w:autoSpaceDE/>
        <w:autoSpaceDN/>
        <w:bidi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评审小组依据依据法律、</w:t>
      </w:r>
      <w:r>
        <w:rPr>
          <w:rFonts w:hint="eastAsia" w:ascii="宋体" w:hAnsi="宋体"/>
          <w:bCs/>
          <w:color w:val="auto"/>
          <w:sz w:val="24"/>
          <w:szCs w:val="24"/>
          <w:highlight w:val="none"/>
          <w:lang w:val="zh-CN"/>
        </w:rPr>
        <w:t>法规及</w:t>
      </w:r>
      <w:r>
        <w:rPr>
          <w:rFonts w:hint="eastAsia" w:ascii="宋体" w:hAnsi="宋体" w:cs="宋体"/>
          <w:color w:val="auto"/>
          <w:sz w:val="24"/>
          <w:szCs w:val="24"/>
          <w:highlight w:val="none"/>
        </w:rPr>
        <w:t>采购文件的规定，对资格审查合格供应商的响应文件的有效性、完整性和响应程度进行审查，以确定是否对采购文件的实质性要求作出响应，具体评审因素详见下表。</w:t>
      </w:r>
    </w:p>
    <w:p w14:paraId="189B0803">
      <w:pPr>
        <w:keepNext w:val="0"/>
        <w:keepLines w:val="0"/>
        <w:pageBreakBefore w:val="0"/>
        <w:widowControl w:val="0"/>
        <w:wordWrap/>
        <w:topLinePunct w:val="0"/>
        <w:autoSpaceDE/>
        <w:autoSpaceDN/>
        <w:bidi w:val="0"/>
        <w:adjustRightInd w:val="0"/>
        <w:spacing w:after="0" w:line="440" w:lineRule="exact"/>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符合性审查表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2952"/>
        <w:gridCol w:w="4869"/>
      </w:tblGrid>
      <w:tr w14:paraId="2EB9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Borders>
              <w:top w:val="single" w:color="auto" w:sz="4" w:space="0"/>
              <w:left w:val="single" w:color="auto" w:sz="4" w:space="0"/>
              <w:bottom w:val="single" w:color="auto" w:sz="4" w:space="0"/>
              <w:right w:val="single" w:color="auto" w:sz="4" w:space="0"/>
            </w:tcBorders>
            <w:vAlign w:val="center"/>
          </w:tcPr>
          <w:p w14:paraId="24C2D5EE">
            <w:pPr>
              <w:keepNext w:val="0"/>
              <w:keepLines w:val="0"/>
              <w:pageBreakBefore w:val="0"/>
              <w:widowControl/>
              <w:kinsoku/>
              <w:wordWrap/>
              <w:overflowPunct/>
              <w:topLinePunct w:val="0"/>
              <w:autoSpaceDE/>
              <w:autoSpaceDN/>
              <w:bidi w:val="0"/>
              <w:adjustRightInd/>
              <w:snapToGrid w:val="0"/>
              <w:spacing w:after="0" w:line="440" w:lineRule="exact"/>
              <w:jc w:val="center"/>
              <w:textAlignment w:val="auto"/>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zh-CN"/>
              </w:rPr>
              <w:t>序号</w:t>
            </w:r>
          </w:p>
        </w:tc>
        <w:tc>
          <w:tcPr>
            <w:tcW w:w="3317" w:type="dxa"/>
            <w:tcBorders>
              <w:top w:val="single" w:color="auto" w:sz="4" w:space="0"/>
              <w:left w:val="single" w:color="auto" w:sz="4" w:space="0"/>
              <w:bottom w:val="single" w:color="auto" w:sz="4" w:space="0"/>
              <w:right w:val="single" w:color="auto" w:sz="4" w:space="0"/>
            </w:tcBorders>
            <w:vAlign w:val="center"/>
          </w:tcPr>
          <w:p w14:paraId="3A3F41C0">
            <w:pPr>
              <w:keepNext w:val="0"/>
              <w:keepLines w:val="0"/>
              <w:pageBreakBefore w:val="0"/>
              <w:widowControl/>
              <w:kinsoku/>
              <w:wordWrap/>
              <w:overflowPunct/>
              <w:topLinePunct w:val="0"/>
              <w:autoSpaceDE/>
              <w:autoSpaceDN/>
              <w:bidi w:val="0"/>
              <w:adjustRightInd/>
              <w:snapToGrid w:val="0"/>
              <w:spacing w:after="0" w:line="440" w:lineRule="exact"/>
              <w:jc w:val="center"/>
              <w:textAlignment w:val="auto"/>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rPr>
              <w:t>评审因素</w:t>
            </w:r>
          </w:p>
        </w:tc>
        <w:tc>
          <w:tcPr>
            <w:tcW w:w="5525" w:type="dxa"/>
            <w:tcBorders>
              <w:top w:val="single" w:color="auto" w:sz="4" w:space="0"/>
              <w:left w:val="single" w:color="auto" w:sz="4" w:space="0"/>
              <w:bottom w:val="single" w:color="auto" w:sz="4" w:space="0"/>
              <w:right w:val="single" w:color="auto" w:sz="4" w:space="0"/>
            </w:tcBorders>
            <w:vAlign w:val="center"/>
          </w:tcPr>
          <w:p w14:paraId="4D29D2C4">
            <w:pPr>
              <w:keepNext w:val="0"/>
              <w:keepLines w:val="0"/>
              <w:pageBreakBefore w:val="0"/>
              <w:widowControl/>
              <w:kinsoku/>
              <w:wordWrap/>
              <w:overflowPunct/>
              <w:topLinePunct w:val="0"/>
              <w:autoSpaceDE/>
              <w:autoSpaceDN/>
              <w:bidi w:val="0"/>
              <w:adjustRightInd/>
              <w:snapToGrid w:val="0"/>
              <w:spacing w:after="0" w:line="440" w:lineRule="exact"/>
              <w:jc w:val="center"/>
              <w:textAlignment w:val="auto"/>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rPr>
              <w:t>评审标准</w:t>
            </w:r>
          </w:p>
        </w:tc>
      </w:tr>
      <w:tr w14:paraId="321A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Borders>
              <w:top w:val="single" w:color="auto" w:sz="4" w:space="0"/>
              <w:left w:val="single" w:color="auto" w:sz="4" w:space="0"/>
              <w:bottom w:val="single" w:color="auto" w:sz="4" w:space="0"/>
              <w:right w:val="single" w:color="auto" w:sz="4" w:space="0"/>
            </w:tcBorders>
            <w:vAlign w:val="center"/>
          </w:tcPr>
          <w:p w14:paraId="668ECE2B">
            <w:pPr>
              <w:keepNext w:val="0"/>
              <w:keepLines w:val="0"/>
              <w:pageBreakBefore w:val="0"/>
              <w:widowControl/>
              <w:numPr>
                <w:ilvl w:val="0"/>
                <w:numId w:val="55"/>
              </w:numPr>
              <w:kinsoku/>
              <w:wordWrap/>
              <w:overflowPunct/>
              <w:topLinePunct w:val="0"/>
              <w:autoSpaceDE/>
              <w:autoSpaceDN/>
              <w:bidi w:val="0"/>
              <w:adjustRightInd/>
              <w:snapToGrid w:val="0"/>
              <w:spacing w:after="0" w:line="440" w:lineRule="exact"/>
              <w:ind w:left="857" w:leftChars="0" w:firstLineChars="0"/>
              <w:jc w:val="center"/>
              <w:textAlignment w:val="auto"/>
              <w:rPr>
                <w:rFonts w:hint="eastAsia" w:ascii="宋体" w:hAnsi="宋体" w:eastAsia="宋体" w:cs="宋体"/>
                <w:bCs/>
                <w:color w:val="auto"/>
                <w:kern w:val="0"/>
                <w:sz w:val="24"/>
                <w:szCs w:val="24"/>
                <w:highlight w:val="none"/>
                <w:lang w:val="zh-CN"/>
              </w:rPr>
            </w:pPr>
          </w:p>
        </w:tc>
        <w:tc>
          <w:tcPr>
            <w:tcW w:w="3317" w:type="dxa"/>
            <w:tcBorders>
              <w:top w:val="single" w:color="auto" w:sz="4" w:space="0"/>
              <w:left w:val="single" w:color="auto" w:sz="4" w:space="0"/>
              <w:bottom w:val="single" w:color="auto" w:sz="4" w:space="0"/>
              <w:right w:val="single" w:color="auto" w:sz="4" w:space="0"/>
            </w:tcBorders>
            <w:vAlign w:val="center"/>
          </w:tcPr>
          <w:p w14:paraId="6538F92C">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文件要求签署、盖章；</w:t>
            </w:r>
          </w:p>
        </w:tc>
        <w:tc>
          <w:tcPr>
            <w:tcW w:w="5525" w:type="dxa"/>
            <w:tcBorders>
              <w:top w:val="single" w:color="auto" w:sz="4" w:space="0"/>
              <w:left w:val="single" w:color="auto" w:sz="4" w:space="0"/>
              <w:bottom w:val="single" w:color="auto" w:sz="4" w:space="0"/>
              <w:right w:val="single" w:color="auto" w:sz="4" w:space="0"/>
            </w:tcBorders>
            <w:vAlign w:val="center"/>
          </w:tcPr>
          <w:p w14:paraId="6D73FFCB">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文件要求签署、盖章；</w:t>
            </w:r>
          </w:p>
        </w:tc>
      </w:tr>
      <w:tr w14:paraId="601D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Borders>
              <w:top w:val="single" w:color="auto" w:sz="4" w:space="0"/>
              <w:left w:val="single" w:color="auto" w:sz="4" w:space="0"/>
              <w:bottom w:val="single" w:color="auto" w:sz="4" w:space="0"/>
              <w:right w:val="single" w:color="auto" w:sz="4" w:space="0"/>
            </w:tcBorders>
            <w:vAlign w:val="center"/>
          </w:tcPr>
          <w:p w14:paraId="3923D961">
            <w:pPr>
              <w:keepNext w:val="0"/>
              <w:keepLines w:val="0"/>
              <w:pageBreakBefore w:val="0"/>
              <w:widowControl/>
              <w:numPr>
                <w:ilvl w:val="0"/>
                <w:numId w:val="55"/>
              </w:numPr>
              <w:kinsoku/>
              <w:wordWrap/>
              <w:overflowPunct/>
              <w:topLinePunct w:val="0"/>
              <w:autoSpaceDE/>
              <w:autoSpaceDN/>
              <w:bidi w:val="0"/>
              <w:adjustRightInd/>
              <w:snapToGrid w:val="0"/>
              <w:spacing w:after="0" w:line="440" w:lineRule="exact"/>
              <w:ind w:left="857" w:leftChars="0" w:firstLineChars="0"/>
              <w:jc w:val="center"/>
              <w:textAlignment w:val="auto"/>
              <w:rPr>
                <w:rFonts w:hint="eastAsia" w:ascii="宋体" w:hAnsi="宋体" w:eastAsia="宋体" w:cs="宋体"/>
                <w:bCs/>
                <w:color w:val="auto"/>
                <w:kern w:val="0"/>
                <w:sz w:val="24"/>
                <w:szCs w:val="24"/>
                <w:highlight w:val="none"/>
                <w:lang w:val="zh-CN"/>
              </w:rPr>
            </w:pPr>
          </w:p>
        </w:tc>
        <w:tc>
          <w:tcPr>
            <w:tcW w:w="3317" w:type="dxa"/>
            <w:tcBorders>
              <w:top w:val="single" w:color="auto" w:sz="4" w:space="0"/>
              <w:left w:val="single" w:color="auto" w:sz="4" w:space="0"/>
              <w:bottom w:val="single" w:color="auto" w:sz="4" w:space="0"/>
              <w:right w:val="single" w:color="auto" w:sz="4" w:space="0"/>
            </w:tcBorders>
            <w:vAlign w:val="center"/>
          </w:tcPr>
          <w:p w14:paraId="6145AD41">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文件要求报价；</w:t>
            </w:r>
          </w:p>
        </w:tc>
        <w:tc>
          <w:tcPr>
            <w:tcW w:w="5525" w:type="dxa"/>
            <w:tcBorders>
              <w:top w:val="single" w:color="auto" w:sz="4" w:space="0"/>
              <w:left w:val="single" w:color="auto" w:sz="4" w:space="0"/>
              <w:bottom w:val="single" w:color="auto" w:sz="4" w:space="0"/>
              <w:right w:val="single" w:color="auto" w:sz="4" w:space="0"/>
            </w:tcBorders>
            <w:vAlign w:val="center"/>
          </w:tcPr>
          <w:p w14:paraId="2CE2D51A">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报价未超限价，不存在缺项、漏项；没有出现两个及以上不同报价或</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方案；</w:t>
            </w:r>
          </w:p>
        </w:tc>
      </w:tr>
      <w:tr w14:paraId="5D69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Borders>
              <w:top w:val="single" w:color="auto" w:sz="4" w:space="0"/>
              <w:left w:val="single" w:color="auto" w:sz="4" w:space="0"/>
              <w:bottom w:val="single" w:color="auto" w:sz="4" w:space="0"/>
              <w:right w:val="single" w:color="auto" w:sz="4" w:space="0"/>
            </w:tcBorders>
            <w:vAlign w:val="center"/>
          </w:tcPr>
          <w:p w14:paraId="6CB9DBD7">
            <w:pPr>
              <w:keepNext w:val="0"/>
              <w:keepLines w:val="0"/>
              <w:pageBreakBefore w:val="0"/>
              <w:widowControl/>
              <w:numPr>
                <w:ilvl w:val="0"/>
                <w:numId w:val="55"/>
              </w:numPr>
              <w:kinsoku/>
              <w:wordWrap/>
              <w:overflowPunct/>
              <w:topLinePunct w:val="0"/>
              <w:autoSpaceDE/>
              <w:autoSpaceDN/>
              <w:bidi w:val="0"/>
              <w:adjustRightInd/>
              <w:snapToGrid w:val="0"/>
              <w:spacing w:after="0" w:line="440" w:lineRule="exact"/>
              <w:ind w:left="857" w:leftChars="0" w:firstLineChars="0"/>
              <w:jc w:val="center"/>
              <w:textAlignment w:val="auto"/>
              <w:rPr>
                <w:rFonts w:hint="eastAsia" w:ascii="宋体" w:hAnsi="宋体" w:eastAsia="宋体" w:cs="宋体"/>
                <w:bCs/>
                <w:color w:val="auto"/>
                <w:kern w:val="0"/>
                <w:sz w:val="24"/>
                <w:szCs w:val="24"/>
                <w:highlight w:val="none"/>
                <w:lang w:val="zh-CN"/>
              </w:rPr>
            </w:pPr>
          </w:p>
        </w:tc>
        <w:tc>
          <w:tcPr>
            <w:tcW w:w="3317" w:type="dxa"/>
            <w:tcBorders>
              <w:top w:val="single" w:color="auto" w:sz="4" w:space="0"/>
              <w:left w:val="single" w:color="auto" w:sz="4" w:space="0"/>
              <w:bottom w:val="single" w:color="auto" w:sz="4" w:space="0"/>
              <w:right w:val="single" w:color="auto" w:sz="4" w:space="0"/>
            </w:tcBorders>
            <w:vAlign w:val="center"/>
          </w:tcPr>
          <w:p w14:paraId="0F2C7139">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服务期符合</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tc>
        <w:tc>
          <w:tcPr>
            <w:tcW w:w="5525" w:type="dxa"/>
            <w:tcBorders>
              <w:top w:val="single" w:color="auto" w:sz="4" w:space="0"/>
              <w:left w:val="single" w:color="auto" w:sz="4" w:space="0"/>
              <w:bottom w:val="single" w:color="auto" w:sz="4" w:space="0"/>
              <w:right w:val="single" w:color="auto" w:sz="4" w:space="0"/>
            </w:tcBorders>
            <w:vAlign w:val="center"/>
          </w:tcPr>
          <w:p w14:paraId="0F2DBB71">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服务期符合</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tc>
      </w:tr>
      <w:tr w14:paraId="3A8E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Borders>
              <w:top w:val="single" w:color="auto" w:sz="4" w:space="0"/>
              <w:left w:val="single" w:color="auto" w:sz="4" w:space="0"/>
              <w:bottom w:val="single" w:color="auto" w:sz="4" w:space="0"/>
              <w:right w:val="single" w:color="auto" w:sz="4" w:space="0"/>
            </w:tcBorders>
            <w:vAlign w:val="center"/>
          </w:tcPr>
          <w:p w14:paraId="61F7C450">
            <w:pPr>
              <w:keepNext w:val="0"/>
              <w:keepLines w:val="0"/>
              <w:pageBreakBefore w:val="0"/>
              <w:widowControl/>
              <w:numPr>
                <w:ilvl w:val="0"/>
                <w:numId w:val="55"/>
              </w:numPr>
              <w:kinsoku/>
              <w:wordWrap/>
              <w:overflowPunct/>
              <w:topLinePunct w:val="0"/>
              <w:autoSpaceDE/>
              <w:autoSpaceDN/>
              <w:bidi w:val="0"/>
              <w:adjustRightInd/>
              <w:snapToGrid w:val="0"/>
              <w:spacing w:after="0" w:line="440" w:lineRule="exact"/>
              <w:ind w:left="857" w:leftChars="0" w:firstLineChars="0"/>
              <w:jc w:val="center"/>
              <w:textAlignment w:val="auto"/>
              <w:rPr>
                <w:rFonts w:hint="eastAsia" w:ascii="宋体" w:hAnsi="宋体" w:eastAsia="宋体" w:cs="宋体"/>
                <w:bCs/>
                <w:color w:val="auto"/>
                <w:kern w:val="0"/>
                <w:sz w:val="24"/>
                <w:szCs w:val="24"/>
                <w:highlight w:val="none"/>
                <w:lang w:val="zh-CN"/>
              </w:rPr>
            </w:pPr>
          </w:p>
        </w:tc>
        <w:tc>
          <w:tcPr>
            <w:tcW w:w="3317" w:type="dxa"/>
            <w:tcBorders>
              <w:top w:val="single" w:color="auto" w:sz="4" w:space="0"/>
              <w:left w:val="single" w:color="auto" w:sz="4" w:space="0"/>
              <w:bottom w:val="single" w:color="auto" w:sz="4" w:space="0"/>
              <w:right w:val="single" w:color="auto" w:sz="4" w:space="0"/>
            </w:tcBorders>
            <w:vAlign w:val="center"/>
          </w:tcPr>
          <w:p w14:paraId="3DC88FC9">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有效期符合</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tc>
        <w:tc>
          <w:tcPr>
            <w:tcW w:w="5525" w:type="dxa"/>
            <w:tcBorders>
              <w:top w:val="single" w:color="auto" w:sz="4" w:space="0"/>
              <w:left w:val="single" w:color="auto" w:sz="4" w:space="0"/>
              <w:bottom w:val="single" w:color="auto" w:sz="4" w:space="0"/>
              <w:right w:val="single" w:color="auto" w:sz="4" w:space="0"/>
            </w:tcBorders>
            <w:vAlign w:val="center"/>
          </w:tcPr>
          <w:p w14:paraId="1DBB5E36">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有效期符合</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tc>
      </w:tr>
      <w:tr w14:paraId="5356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Borders>
              <w:top w:val="single" w:color="auto" w:sz="4" w:space="0"/>
              <w:left w:val="single" w:color="auto" w:sz="4" w:space="0"/>
              <w:bottom w:val="single" w:color="auto" w:sz="4" w:space="0"/>
              <w:right w:val="single" w:color="auto" w:sz="4" w:space="0"/>
            </w:tcBorders>
            <w:vAlign w:val="center"/>
          </w:tcPr>
          <w:p w14:paraId="6BBB60EA">
            <w:pPr>
              <w:keepNext w:val="0"/>
              <w:keepLines w:val="0"/>
              <w:pageBreakBefore w:val="0"/>
              <w:widowControl/>
              <w:numPr>
                <w:ilvl w:val="0"/>
                <w:numId w:val="55"/>
              </w:numPr>
              <w:kinsoku/>
              <w:wordWrap/>
              <w:overflowPunct/>
              <w:topLinePunct w:val="0"/>
              <w:autoSpaceDE/>
              <w:autoSpaceDN/>
              <w:bidi w:val="0"/>
              <w:adjustRightInd/>
              <w:snapToGrid w:val="0"/>
              <w:spacing w:after="0" w:line="440" w:lineRule="exact"/>
              <w:ind w:left="857" w:leftChars="0" w:firstLineChars="0"/>
              <w:jc w:val="center"/>
              <w:textAlignment w:val="auto"/>
              <w:rPr>
                <w:rFonts w:hint="eastAsia" w:ascii="宋体" w:hAnsi="宋体" w:eastAsia="宋体" w:cs="宋体"/>
                <w:bCs/>
                <w:color w:val="auto"/>
                <w:kern w:val="0"/>
                <w:sz w:val="24"/>
                <w:szCs w:val="24"/>
                <w:highlight w:val="none"/>
                <w:lang w:val="zh-CN"/>
              </w:rPr>
            </w:pPr>
          </w:p>
        </w:tc>
        <w:tc>
          <w:tcPr>
            <w:tcW w:w="3317" w:type="dxa"/>
            <w:tcBorders>
              <w:top w:val="single" w:color="auto" w:sz="4" w:space="0"/>
              <w:left w:val="single" w:color="auto" w:sz="4" w:space="0"/>
              <w:bottom w:val="single" w:color="auto" w:sz="4" w:space="0"/>
              <w:right w:val="single" w:color="auto" w:sz="4" w:space="0"/>
            </w:tcBorders>
            <w:vAlign w:val="center"/>
          </w:tcPr>
          <w:p w14:paraId="6DBFFBC7">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文件未附有采购人不能接受条件；</w:t>
            </w:r>
          </w:p>
        </w:tc>
        <w:tc>
          <w:tcPr>
            <w:tcW w:w="5525" w:type="dxa"/>
            <w:tcBorders>
              <w:top w:val="single" w:color="auto" w:sz="4" w:space="0"/>
              <w:left w:val="single" w:color="auto" w:sz="4" w:space="0"/>
              <w:bottom w:val="single" w:color="auto" w:sz="4" w:space="0"/>
              <w:right w:val="single" w:color="auto" w:sz="4" w:space="0"/>
            </w:tcBorders>
            <w:vAlign w:val="center"/>
          </w:tcPr>
          <w:p w14:paraId="140A83CA">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文件未附有采购人不能接受条件；</w:t>
            </w:r>
          </w:p>
        </w:tc>
      </w:tr>
      <w:tr w14:paraId="3914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Borders>
              <w:top w:val="single" w:color="auto" w:sz="4" w:space="0"/>
              <w:left w:val="single" w:color="auto" w:sz="4" w:space="0"/>
              <w:bottom w:val="single" w:color="auto" w:sz="4" w:space="0"/>
              <w:right w:val="single" w:color="auto" w:sz="4" w:space="0"/>
            </w:tcBorders>
            <w:vAlign w:val="center"/>
          </w:tcPr>
          <w:p w14:paraId="147234BB">
            <w:pPr>
              <w:keepNext w:val="0"/>
              <w:keepLines w:val="0"/>
              <w:pageBreakBefore w:val="0"/>
              <w:widowControl/>
              <w:numPr>
                <w:ilvl w:val="0"/>
                <w:numId w:val="55"/>
              </w:numPr>
              <w:kinsoku/>
              <w:wordWrap/>
              <w:overflowPunct/>
              <w:topLinePunct w:val="0"/>
              <w:autoSpaceDE/>
              <w:autoSpaceDN/>
              <w:bidi w:val="0"/>
              <w:adjustRightInd/>
              <w:snapToGrid w:val="0"/>
              <w:spacing w:after="0" w:line="440" w:lineRule="exact"/>
              <w:ind w:left="857" w:leftChars="0" w:firstLineChars="0"/>
              <w:jc w:val="center"/>
              <w:textAlignment w:val="auto"/>
              <w:rPr>
                <w:rFonts w:hint="eastAsia" w:ascii="宋体" w:hAnsi="宋体" w:eastAsia="宋体" w:cs="宋体"/>
                <w:bCs/>
                <w:color w:val="auto"/>
                <w:kern w:val="0"/>
                <w:sz w:val="24"/>
                <w:szCs w:val="24"/>
                <w:highlight w:val="none"/>
                <w:lang w:val="zh-CN"/>
              </w:rPr>
            </w:pPr>
          </w:p>
        </w:tc>
        <w:tc>
          <w:tcPr>
            <w:tcW w:w="3317" w:type="dxa"/>
            <w:tcBorders>
              <w:top w:val="single" w:color="auto" w:sz="4" w:space="0"/>
              <w:left w:val="single" w:color="auto" w:sz="4" w:space="0"/>
              <w:bottom w:val="single" w:color="auto" w:sz="4" w:space="0"/>
              <w:right w:val="single" w:color="auto" w:sz="4" w:space="0"/>
            </w:tcBorders>
            <w:vAlign w:val="center"/>
          </w:tcPr>
          <w:p w14:paraId="2AE80A7E">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文件技术、服务及商务等实质性要求；</w:t>
            </w:r>
          </w:p>
        </w:tc>
        <w:tc>
          <w:tcPr>
            <w:tcW w:w="5525" w:type="dxa"/>
            <w:tcBorders>
              <w:top w:val="single" w:color="auto" w:sz="4" w:space="0"/>
              <w:left w:val="single" w:color="auto" w:sz="4" w:space="0"/>
              <w:bottom w:val="single" w:color="auto" w:sz="4" w:space="0"/>
              <w:right w:val="single" w:color="auto" w:sz="4" w:space="0"/>
            </w:tcBorders>
            <w:vAlign w:val="center"/>
          </w:tcPr>
          <w:p w14:paraId="62AA4F12">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文件技术、服务及商务等实质性要求；</w:t>
            </w:r>
          </w:p>
        </w:tc>
      </w:tr>
      <w:tr w14:paraId="5103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Borders>
              <w:top w:val="single" w:color="auto" w:sz="4" w:space="0"/>
              <w:left w:val="single" w:color="auto" w:sz="4" w:space="0"/>
              <w:bottom w:val="single" w:color="auto" w:sz="4" w:space="0"/>
              <w:right w:val="single" w:color="auto" w:sz="4" w:space="0"/>
            </w:tcBorders>
            <w:vAlign w:val="center"/>
          </w:tcPr>
          <w:p w14:paraId="3903E301">
            <w:pPr>
              <w:keepNext w:val="0"/>
              <w:keepLines w:val="0"/>
              <w:pageBreakBefore w:val="0"/>
              <w:widowControl/>
              <w:numPr>
                <w:ilvl w:val="0"/>
                <w:numId w:val="55"/>
              </w:numPr>
              <w:kinsoku/>
              <w:wordWrap/>
              <w:overflowPunct/>
              <w:topLinePunct w:val="0"/>
              <w:autoSpaceDE/>
              <w:autoSpaceDN/>
              <w:bidi w:val="0"/>
              <w:adjustRightInd/>
              <w:snapToGrid w:val="0"/>
              <w:spacing w:after="0" w:line="440" w:lineRule="exact"/>
              <w:ind w:left="857" w:leftChars="0" w:firstLineChars="0"/>
              <w:jc w:val="center"/>
              <w:textAlignment w:val="auto"/>
              <w:rPr>
                <w:rFonts w:hint="eastAsia" w:ascii="宋体" w:hAnsi="宋体" w:eastAsia="宋体" w:cs="宋体"/>
                <w:bCs/>
                <w:color w:val="auto"/>
                <w:kern w:val="0"/>
                <w:sz w:val="24"/>
                <w:szCs w:val="24"/>
                <w:highlight w:val="none"/>
                <w:lang w:val="zh-CN"/>
              </w:rPr>
            </w:pPr>
          </w:p>
        </w:tc>
        <w:tc>
          <w:tcPr>
            <w:tcW w:w="3317" w:type="dxa"/>
            <w:tcBorders>
              <w:top w:val="single" w:color="auto" w:sz="4" w:space="0"/>
              <w:left w:val="single" w:color="auto" w:sz="4" w:space="0"/>
              <w:bottom w:val="single" w:color="auto" w:sz="4" w:space="0"/>
              <w:right w:val="single" w:color="auto" w:sz="4" w:space="0"/>
            </w:tcBorders>
            <w:vAlign w:val="center"/>
          </w:tcPr>
          <w:p w14:paraId="32A6D7EC">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以分公司形式参与</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的，法定代表人授权书由总公司法定代表人签字（签章）并加盖公章；</w:t>
            </w:r>
          </w:p>
        </w:tc>
        <w:tc>
          <w:tcPr>
            <w:tcW w:w="5525" w:type="dxa"/>
            <w:tcBorders>
              <w:top w:val="single" w:color="auto" w:sz="4" w:space="0"/>
              <w:left w:val="single" w:color="auto" w:sz="4" w:space="0"/>
              <w:bottom w:val="single" w:color="auto" w:sz="4" w:space="0"/>
              <w:right w:val="single" w:color="auto" w:sz="4" w:space="0"/>
            </w:tcBorders>
            <w:vAlign w:val="center"/>
          </w:tcPr>
          <w:p w14:paraId="63768027">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以分公司形式参与</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的，法定代表人授权书由总公司法定代表人签字（签章）并加盖公章；</w:t>
            </w:r>
          </w:p>
        </w:tc>
      </w:tr>
      <w:tr w14:paraId="412E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Borders>
              <w:top w:val="single" w:color="auto" w:sz="4" w:space="0"/>
              <w:left w:val="single" w:color="auto" w:sz="4" w:space="0"/>
              <w:bottom w:val="single" w:color="auto" w:sz="4" w:space="0"/>
              <w:right w:val="single" w:color="auto" w:sz="4" w:space="0"/>
            </w:tcBorders>
            <w:vAlign w:val="center"/>
          </w:tcPr>
          <w:p w14:paraId="22E529CA">
            <w:pPr>
              <w:keepNext w:val="0"/>
              <w:keepLines w:val="0"/>
              <w:pageBreakBefore w:val="0"/>
              <w:widowControl/>
              <w:numPr>
                <w:ilvl w:val="0"/>
                <w:numId w:val="55"/>
              </w:numPr>
              <w:kinsoku/>
              <w:wordWrap/>
              <w:overflowPunct/>
              <w:topLinePunct w:val="0"/>
              <w:autoSpaceDE/>
              <w:autoSpaceDN/>
              <w:bidi w:val="0"/>
              <w:adjustRightInd/>
              <w:snapToGrid w:val="0"/>
              <w:spacing w:after="0" w:line="440" w:lineRule="exact"/>
              <w:ind w:left="857" w:leftChars="0" w:firstLineChars="0"/>
              <w:jc w:val="center"/>
              <w:textAlignment w:val="auto"/>
              <w:rPr>
                <w:rFonts w:hint="eastAsia" w:ascii="宋体" w:hAnsi="宋体" w:eastAsia="宋体" w:cs="宋体"/>
                <w:bCs/>
                <w:color w:val="auto"/>
                <w:kern w:val="0"/>
                <w:sz w:val="24"/>
                <w:szCs w:val="24"/>
                <w:highlight w:val="none"/>
                <w:lang w:val="zh-CN"/>
              </w:rPr>
            </w:pPr>
          </w:p>
        </w:tc>
        <w:tc>
          <w:tcPr>
            <w:tcW w:w="3317" w:type="dxa"/>
            <w:tcBorders>
              <w:top w:val="single" w:color="auto" w:sz="4" w:space="0"/>
              <w:left w:val="single" w:color="auto" w:sz="4" w:space="0"/>
              <w:bottom w:val="single" w:color="auto" w:sz="4" w:space="0"/>
              <w:right w:val="single" w:color="auto" w:sz="4" w:space="0"/>
            </w:tcBorders>
            <w:vAlign w:val="center"/>
          </w:tcPr>
          <w:p w14:paraId="7480B8B8">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无围标串标情况；</w:t>
            </w:r>
          </w:p>
        </w:tc>
        <w:tc>
          <w:tcPr>
            <w:tcW w:w="5525" w:type="dxa"/>
            <w:tcBorders>
              <w:top w:val="single" w:color="auto" w:sz="4" w:space="0"/>
              <w:left w:val="single" w:color="auto" w:sz="4" w:space="0"/>
              <w:bottom w:val="single" w:color="auto" w:sz="4" w:space="0"/>
              <w:right w:val="single" w:color="auto" w:sz="4" w:space="0"/>
            </w:tcBorders>
            <w:vAlign w:val="center"/>
          </w:tcPr>
          <w:p w14:paraId="4C3F0D72">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没有下列任一情形：</w:t>
            </w:r>
          </w:p>
          <w:p w14:paraId="3D4EDD40">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（1）不同</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文件由同一单位或者个人编制；</w:t>
            </w:r>
          </w:p>
          <w:p w14:paraId="66AEE659">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（2）不同</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委托同一单位或者个人办理洽谈事宜；</w:t>
            </w:r>
          </w:p>
          <w:p w14:paraId="463B7FD5">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（3）不同</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文件载明的项目管理成员或者联系人员为同一人；</w:t>
            </w:r>
          </w:p>
          <w:p w14:paraId="0A7BF45D">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（4）不同</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文件异常一致或者报价呈规律性差异；</w:t>
            </w:r>
          </w:p>
          <w:p w14:paraId="3DEBDF5D">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（5）不同</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文件相互混装；</w:t>
            </w:r>
          </w:p>
        </w:tc>
      </w:tr>
      <w:tr w14:paraId="53A5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3B94543D">
            <w:pPr>
              <w:keepNext w:val="0"/>
              <w:keepLines w:val="0"/>
              <w:pageBreakBefore w:val="0"/>
              <w:widowControl/>
              <w:numPr>
                <w:ilvl w:val="0"/>
                <w:numId w:val="55"/>
              </w:numPr>
              <w:kinsoku/>
              <w:wordWrap/>
              <w:overflowPunct/>
              <w:topLinePunct w:val="0"/>
              <w:autoSpaceDE/>
              <w:autoSpaceDN/>
              <w:bidi w:val="0"/>
              <w:adjustRightInd/>
              <w:snapToGrid w:val="0"/>
              <w:spacing w:after="0" w:line="440" w:lineRule="exact"/>
              <w:ind w:left="857" w:leftChars="0" w:firstLineChars="0"/>
              <w:jc w:val="center"/>
              <w:textAlignment w:val="auto"/>
              <w:rPr>
                <w:rFonts w:hint="eastAsia" w:ascii="宋体" w:hAnsi="宋体" w:eastAsia="宋体" w:cs="宋体"/>
                <w:bCs/>
                <w:color w:val="auto"/>
                <w:kern w:val="0"/>
                <w:sz w:val="24"/>
                <w:szCs w:val="24"/>
                <w:highlight w:val="none"/>
                <w:lang w:val="zh-CN"/>
              </w:rPr>
            </w:pPr>
          </w:p>
        </w:tc>
        <w:tc>
          <w:tcPr>
            <w:tcW w:w="3317" w:type="dxa"/>
            <w:tcBorders>
              <w:top w:val="single" w:color="auto" w:sz="4" w:space="0"/>
              <w:left w:val="single" w:color="auto" w:sz="4" w:space="0"/>
              <w:bottom w:val="single" w:color="auto" w:sz="4" w:space="0"/>
              <w:right w:val="single" w:color="auto" w:sz="4" w:space="0"/>
            </w:tcBorders>
            <w:vAlign w:val="center"/>
          </w:tcPr>
          <w:p w14:paraId="3A938DF8">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不存在法律、法规和</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文件规定的其他无效</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情形。</w:t>
            </w:r>
          </w:p>
        </w:tc>
        <w:tc>
          <w:tcPr>
            <w:tcW w:w="5525" w:type="dxa"/>
            <w:tcBorders>
              <w:top w:val="single" w:color="auto" w:sz="4" w:space="0"/>
              <w:left w:val="single" w:color="auto" w:sz="4" w:space="0"/>
              <w:bottom w:val="single" w:color="auto" w:sz="4" w:space="0"/>
              <w:right w:val="single" w:color="auto" w:sz="4" w:space="0"/>
            </w:tcBorders>
            <w:vAlign w:val="center"/>
          </w:tcPr>
          <w:p w14:paraId="7EF02F6A">
            <w:pPr>
              <w:keepNext w:val="0"/>
              <w:keepLines w:val="0"/>
              <w:pageBreakBefore w:val="0"/>
              <w:widowControl/>
              <w:kinsoku/>
              <w:wordWrap/>
              <w:overflowPunct/>
              <w:topLinePunct w:val="0"/>
              <w:autoSpaceDE/>
              <w:autoSpaceDN/>
              <w:bidi w:val="0"/>
              <w:adjustRightInd/>
              <w:snapToGrid w:val="0"/>
              <w:spacing w:after="0" w:line="440" w:lineRule="exact"/>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不存在法律、法规和</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文件规定的其他无效</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情形。</w:t>
            </w:r>
          </w:p>
        </w:tc>
      </w:tr>
    </w:tbl>
    <w:p w14:paraId="2AD16F30">
      <w:pPr>
        <w:keepNext w:val="0"/>
        <w:keepLines w:val="0"/>
        <w:pageBreakBefore w:val="0"/>
        <w:tabs>
          <w:tab w:val="center" w:pos="4153"/>
          <w:tab w:val="right" w:pos="8306"/>
        </w:tabs>
        <w:wordWrap/>
        <w:topLinePunct w:val="0"/>
        <w:autoSpaceDE/>
        <w:autoSpaceDN/>
        <w:bidi w:val="0"/>
        <w:snapToGrid w:val="0"/>
        <w:spacing w:after="0" w:line="440" w:lineRule="exact"/>
        <w:textAlignment w:val="auto"/>
        <w:rPr>
          <w:rFonts w:ascii="宋体" w:hAnsi="宋体" w:cstheme="minorBidi"/>
          <w:color w:val="auto"/>
          <w:kern w:val="2"/>
          <w:sz w:val="24"/>
          <w:szCs w:val="24"/>
          <w:highlight w:val="none"/>
        </w:rPr>
      </w:pPr>
      <w:r>
        <w:rPr>
          <w:rFonts w:hint="eastAsia" w:ascii="宋体" w:hAnsi="宋体"/>
          <w:color w:val="auto"/>
          <w:kern w:val="2"/>
          <w:sz w:val="24"/>
          <w:szCs w:val="24"/>
          <w:highlight w:val="none"/>
        </w:rPr>
        <w:t>说明：</w:t>
      </w:r>
    </w:p>
    <w:p w14:paraId="3FA340AE">
      <w:pPr>
        <w:keepNext w:val="0"/>
        <w:keepLines w:val="0"/>
        <w:pageBreakBefore w:val="0"/>
        <w:widowControl w:val="0"/>
        <w:wordWrap/>
        <w:topLinePunct w:val="0"/>
        <w:autoSpaceDE/>
        <w:autoSpaceDN/>
        <w:bidi w:val="0"/>
        <w:adjustRightInd w:val="0"/>
        <w:spacing w:after="0" w:line="440" w:lineRule="exact"/>
        <w:ind w:left="249"/>
        <w:jc w:val="both"/>
        <w:textAlignment w:val="auto"/>
        <w:rPr>
          <w:rFonts w:ascii="宋体" w:hAnsi="宋体"/>
          <w:color w:val="auto"/>
          <w:sz w:val="24"/>
          <w:szCs w:val="24"/>
          <w:highlight w:val="none"/>
          <w:lang w:val="zh-CN"/>
        </w:rPr>
      </w:pPr>
      <w:r>
        <w:rPr>
          <w:rFonts w:hint="eastAsia" w:ascii="宋体" w:hAnsi="宋体"/>
          <w:color w:val="auto"/>
          <w:sz w:val="24"/>
          <w:szCs w:val="24"/>
          <w:highlight w:val="none"/>
        </w:rPr>
        <w:t>1、</w:t>
      </w:r>
      <w:r>
        <w:rPr>
          <w:rFonts w:hint="eastAsia" w:ascii="宋体" w:hAnsi="宋体"/>
          <w:color w:val="auto"/>
          <w:kern w:val="2"/>
          <w:sz w:val="24"/>
          <w:szCs w:val="24"/>
          <w:highlight w:val="none"/>
          <w:lang w:val="zh-CN"/>
        </w:rPr>
        <w:t>响应文件中有任意一条不满足上表要求的将导致其响应无效</w:t>
      </w:r>
      <w:r>
        <w:rPr>
          <w:rFonts w:hint="eastAsia" w:ascii="宋体" w:hAnsi="宋体"/>
          <w:color w:val="auto"/>
          <w:sz w:val="24"/>
          <w:szCs w:val="24"/>
          <w:highlight w:val="none"/>
          <w:lang w:val="zh-CN"/>
        </w:rPr>
        <w:t>，不进入下一项评审。</w:t>
      </w:r>
    </w:p>
    <w:p w14:paraId="74F52E8C">
      <w:pPr>
        <w:keepNext w:val="0"/>
        <w:keepLines w:val="0"/>
        <w:pageBreakBefore w:val="0"/>
        <w:widowControl w:val="0"/>
        <w:wordWrap/>
        <w:topLinePunct w:val="0"/>
        <w:autoSpaceDE/>
        <w:autoSpaceDN/>
        <w:bidi w:val="0"/>
        <w:adjustRightInd w:val="0"/>
        <w:spacing w:after="0" w:line="440" w:lineRule="exact"/>
        <w:ind w:left="249"/>
        <w:jc w:val="both"/>
        <w:textAlignment w:val="auto"/>
        <w:rPr>
          <w:rFonts w:ascii="宋体" w:hAnsi="宋体"/>
          <w:color w:val="auto"/>
          <w:kern w:val="2"/>
          <w:sz w:val="24"/>
          <w:szCs w:val="24"/>
          <w:highlight w:val="none"/>
          <w:lang w:val="zh-CN"/>
        </w:rPr>
      </w:pPr>
      <w:r>
        <w:rPr>
          <w:rFonts w:hint="eastAsia" w:ascii="宋体" w:hAnsi="宋体"/>
          <w:color w:val="auto"/>
          <w:kern w:val="2"/>
          <w:sz w:val="24"/>
          <w:szCs w:val="24"/>
          <w:highlight w:val="none"/>
          <w:lang w:val="zh-CN"/>
        </w:rPr>
        <w:t>2、符合性审查合格供应商不足3家的，不进行下一步评审。</w:t>
      </w:r>
    </w:p>
    <w:p w14:paraId="45ACC66D">
      <w:pPr>
        <w:keepNext w:val="0"/>
        <w:keepLines w:val="0"/>
        <w:pageBreakBefore w:val="0"/>
        <w:widowControl w:val="0"/>
        <w:numPr>
          <w:ilvl w:val="0"/>
          <w:numId w:val="49"/>
        </w:numPr>
        <w:wordWrap/>
        <w:topLinePunct w:val="0"/>
        <w:autoSpaceDE/>
        <w:autoSpaceDN/>
        <w:bidi w:val="0"/>
        <w:spacing w:after="0" w:line="440" w:lineRule="exact"/>
        <w:ind w:left="675" w:hanging="771" w:hangingChars="320"/>
        <w:jc w:val="both"/>
        <w:textAlignment w:val="auto"/>
        <w:rPr>
          <w:rFonts w:ascii="宋体" w:hAnsi="宋体" w:cs="宋体"/>
          <w:b/>
          <w:color w:val="auto"/>
          <w:sz w:val="24"/>
          <w:szCs w:val="24"/>
          <w:highlight w:val="none"/>
        </w:rPr>
      </w:pPr>
      <w:r>
        <w:rPr>
          <w:rFonts w:hint="eastAsia" w:ascii="宋体" w:hAnsi="宋体"/>
          <w:b/>
          <w:color w:val="auto"/>
          <w:sz w:val="24"/>
          <w:szCs w:val="24"/>
          <w:highlight w:val="none"/>
          <w:lang w:val="zh-CN"/>
        </w:rPr>
        <w:t>综合比较与评价</w:t>
      </w:r>
    </w:p>
    <w:p w14:paraId="104510A1">
      <w:pPr>
        <w:pStyle w:val="99"/>
        <w:keepNext w:val="0"/>
        <w:keepLines w:val="0"/>
        <w:pageBreakBefore w:val="0"/>
        <w:widowControl w:val="0"/>
        <w:numPr>
          <w:ilvl w:val="0"/>
          <w:numId w:val="56"/>
        </w:numPr>
        <w:tabs>
          <w:tab w:val="left" w:pos="616"/>
        </w:tabs>
        <w:wordWrap/>
        <w:topLinePunct w:val="0"/>
        <w:autoSpaceDE/>
        <w:autoSpaceDN/>
        <w:bidi w:val="0"/>
        <w:spacing w:after="0" w:line="440" w:lineRule="exact"/>
        <w:jc w:val="both"/>
        <w:textAlignment w:val="auto"/>
        <w:rPr>
          <w:rFonts w:ascii="宋体" w:hAnsi="宋体"/>
          <w:bCs/>
          <w:color w:val="auto"/>
          <w:sz w:val="24"/>
          <w:szCs w:val="24"/>
          <w:highlight w:val="none"/>
          <w:lang w:val="zh-CN"/>
        </w:rPr>
      </w:pPr>
      <w:r>
        <w:rPr>
          <w:rFonts w:hint="eastAsia" w:ascii="宋体" w:hAnsi="宋体"/>
          <w:b/>
          <w:bCs/>
          <w:color w:val="auto"/>
          <w:sz w:val="24"/>
          <w:szCs w:val="24"/>
          <w:highlight w:val="none"/>
          <w:lang w:val="zh-CN"/>
        </w:rPr>
        <w:t>技术、服务和商务评议</w:t>
      </w:r>
    </w:p>
    <w:p w14:paraId="449B9979">
      <w:pPr>
        <w:keepNext w:val="0"/>
        <w:keepLines w:val="0"/>
        <w:pageBreakBefore w:val="0"/>
        <w:wordWrap/>
        <w:topLinePunct w:val="0"/>
        <w:autoSpaceDE/>
        <w:autoSpaceDN/>
        <w:bidi w:val="0"/>
        <w:spacing w:after="0" w:line="440" w:lineRule="exact"/>
        <w:ind w:left="11" w:leftChars="5" w:firstLine="480" w:firstLineChars="200"/>
        <w:textAlignment w:val="auto"/>
        <w:rPr>
          <w:rFonts w:ascii="宋体" w:hAnsi="宋体"/>
          <w:bCs/>
          <w:color w:val="auto"/>
          <w:sz w:val="24"/>
          <w:szCs w:val="24"/>
          <w:highlight w:val="none"/>
          <w:lang w:val="zh-CN"/>
        </w:rPr>
      </w:pPr>
      <w:r>
        <w:rPr>
          <w:rFonts w:hint="eastAsia" w:ascii="宋体" w:hAnsi="宋体"/>
          <w:bCs/>
          <w:color w:val="auto"/>
          <w:sz w:val="24"/>
          <w:szCs w:val="24"/>
          <w:highlight w:val="none"/>
        </w:rPr>
        <w:t>评审小组按照采购文件规定的评审因素及评分标准</w:t>
      </w:r>
      <w:r>
        <w:rPr>
          <w:rFonts w:hint="eastAsia" w:ascii="宋体" w:hAnsi="宋体"/>
          <w:bCs/>
          <w:color w:val="auto"/>
          <w:sz w:val="24"/>
          <w:szCs w:val="24"/>
          <w:highlight w:val="none"/>
          <w:lang w:val="zh-CN"/>
        </w:rPr>
        <w:t>，对符合性审查合格的响应文件技术、服务及商务响应情况进行综合比较与评价。</w:t>
      </w:r>
    </w:p>
    <w:p w14:paraId="205B9E83">
      <w:pPr>
        <w:pStyle w:val="99"/>
        <w:keepNext w:val="0"/>
        <w:keepLines w:val="0"/>
        <w:pageBreakBefore w:val="0"/>
        <w:widowControl w:val="0"/>
        <w:numPr>
          <w:ilvl w:val="0"/>
          <w:numId w:val="56"/>
        </w:numPr>
        <w:tabs>
          <w:tab w:val="left" w:pos="616"/>
        </w:tabs>
        <w:wordWrap/>
        <w:topLinePunct w:val="0"/>
        <w:autoSpaceDE/>
        <w:autoSpaceDN/>
        <w:bidi w:val="0"/>
        <w:spacing w:after="0" w:line="440" w:lineRule="exact"/>
        <w:jc w:val="both"/>
        <w:textAlignment w:val="auto"/>
        <w:rPr>
          <w:rFonts w:ascii="宋体" w:hAnsi="宋体"/>
          <w:b/>
          <w:bCs/>
          <w:color w:val="auto"/>
          <w:kern w:val="2"/>
          <w:sz w:val="24"/>
          <w:szCs w:val="24"/>
          <w:highlight w:val="none"/>
          <w:lang w:val="zh-CN"/>
        </w:rPr>
      </w:pPr>
      <w:r>
        <w:rPr>
          <w:rFonts w:hint="eastAsia" w:ascii="宋体" w:hAnsi="宋体"/>
          <w:b/>
          <w:bCs/>
          <w:color w:val="auto"/>
          <w:sz w:val="24"/>
          <w:szCs w:val="24"/>
          <w:highlight w:val="none"/>
          <w:lang w:val="zh-CN"/>
        </w:rPr>
        <w:t>价格评议</w:t>
      </w:r>
    </w:p>
    <w:p w14:paraId="75DCBC1D">
      <w:pPr>
        <w:keepNext w:val="0"/>
        <w:keepLines w:val="0"/>
        <w:pageBreakBefore w:val="0"/>
        <w:widowControl w:val="0"/>
        <w:wordWrap/>
        <w:topLinePunct w:val="0"/>
        <w:autoSpaceDE/>
        <w:autoSpaceDN/>
        <w:bidi w:val="0"/>
        <w:spacing w:after="0" w:line="440" w:lineRule="exact"/>
        <w:ind w:firstLine="480" w:firstLineChars="200"/>
        <w:jc w:val="both"/>
        <w:textAlignment w:val="auto"/>
        <w:rPr>
          <w:rFonts w:ascii="宋体" w:hAnsi="宋体"/>
          <w:bCs/>
          <w:color w:val="auto"/>
          <w:kern w:val="2"/>
          <w:sz w:val="24"/>
          <w:szCs w:val="24"/>
          <w:highlight w:val="none"/>
        </w:rPr>
      </w:pPr>
      <w:r>
        <w:rPr>
          <w:rFonts w:hint="eastAsia" w:ascii="宋体" w:hAnsi="宋体"/>
          <w:bCs/>
          <w:color w:val="auto"/>
          <w:kern w:val="2"/>
          <w:sz w:val="24"/>
          <w:szCs w:val="24"/>
          <w:highlight w:val="none"/>
        </w:rPr>
        <w:t>报价分采用低价优先法计算，即满足采购文件要求且最后报价最低的价格为磋商基准价，其价格分为满分。其他供应商的报价分值计算详见本章“评审因素及评分标准”中的具体计算方式。</w:t>
      </w:r>
    </w:p>
    <w:p w14:paraId="30298B0A">
      <w:pPr>
        <w:keepNext w:val="0"/>
        <w:keepLines w:val="0"/>
        <w:pageBreakBefore w:val="0"/>
        <w:widowControl w:val="0"/>
        <w:numPr>
          <w:ilvl w:val="0"/>
          <w:numId w:val="57"/>
        </w:numPr>
        <w:wordWrap/>
        <w:topLinePunct w:val="0"/>
        <w:autoSpaceDE/>
        <w:autoSpaceDN/>
        <w:bidi w:val="0"/>
        <w:adjustRightInd w:val="0"/>
        <w:spacing w:after="0" w:line="440" w:lineRule="exact"/>
        <w:ind w:left="742" w:hanging="493"/>
        <w:jc w:val="both"/>
        <w:textAlignment w:val="auto"/>
        <w:rPr>
          <w:rFonts w:ascii="宋体" w:hAnsi="宋体"/>
          <w:bCs/>
          <w:color w:val="auto"/>
          <w:kern w:val="2"/>
          <w:sz w:val="24"/>
          <w:szCs w:val="24"/>
          <w:highlight w:val="none"/>
          <w:lang w:val="zh-CN"/>
        </w:rPr>
      </w:pPr>
      <w:r>
        <w:rPr>
          <w:rFonts w:hint="eastAsia" w:ascii="宋体" w:hAnsi="宋体"/>
          <w:b/>
          <w:color w:val="auto"/>
          <w:kern w:val="2"/>
          <w:sz w:val="24"/>
          <w:szCs w:val="24"/>
          <w:highlight w:val="none"/>
          <w:lang w:val="zh-CN"/>
        </w:rPr>
        <w:t>报价合理性说明</w:t>
      </w:r>
    </w:p>
    <w:p w14:paraId="44C7C4B1">
      <w:pPr>
        <w:keepNext w:val="0"/>
        <w:keepLines w:val="0"/>
        <w:pageBreakBefore w:val="0"/>
        <w:widowControl w:val="0"/>
        <w:wordWrap/>
        <w:topLinePunct w:val="0"/>
        <w:autoSpaceDE/>
        <w:autoSpaceDN/>
        <w:bidi w:val="0"/>
        <w:spacing w:after="0" w:line="440" w:lineRule="exact"/>
        <w:ind w:firstLine="480" w:firstLineChars="200"/>
        <w:jc w:val="both"/>
        <w:textAlignment w:val="auto"/>
        <w:rPr>
          <w:rFonts w:ascii="宋体" w:hAnsi="宋体"/>
          <w:bCs/>
          <w:color w:val="auto"/>
          <w:kern w:val="2"/>
          <w:sz w:val="24"/>
          <w:szCs w:val="24"/>
          <w:highlight w:val="none"/>
          <w:lang w:val="zh-CN"/>
        </w:rPr>
      </w:pPr>
      <w:r>
        <w:rPr>
          <w:rFonts w:hint="eastAsia" w:ascii="宋体" w:hAnsi="宋体" w:cs="Helvetica"/>
          <w:color w:val="auto"/>
          <w:sz w:val="24"/>
          <w:szCs w:val="24"/>
          <w:highlight w:val="none"/>
          <w:lang w:val="zh-CN"/>
        </w:rPr>
        <w:t>评审小组认为供应商的报价明显低于其他通过符合性审查供应商的报价，</w:t>
      </w:r>
      <w:r>
        <w:rPr>
          <w:rFonts w:hint="eastAsia" w:ascii="宋体" w:hAnsi="宋体"/>
          <w:bCs/>
          <w:color w:val="auto"/>
          <w:kern w:val="2"/>
          <w:sz w:val="24"/>
          <w:szCs w:val="24"/>
          <w:highlight w:val="none"/>
        </w:rPr>
        <w:t>有可能影响产品质量或者不能诚信履约的</w:t>
      </w:r>
      <w:r>
        <w:rPr>
          <w:rFonts w:hint="eastAsia" w:ascii="宋体" w:hAnsi="宋体" w:cs="Helvetica"/>
          <w:color w:val="auto"/>
          <w:sz w:val="24"/>
          <w:szCs w:val="24"/>
          <w:highlight w:val="none"/>
          <w:lang w:val="zh-CN"/>
        </w:rPr>
        <w:t>，应当要求其在合理的时间内提供书面说明，必要时提交相关证明材料；供应商不能证明其报价合理性的，评审小组应当将其作为</w:t>
      </w:r>
      <w:r>
        <w:rPr>
          <w:rFonts w:hint="eastAsia" w:ascii="宋体" w:hAnsi="宋体" w:cs="Helvetica"/>
          <w:b/>
          <w:color w:val="auto"/>
          <w:sz w:val="24"/>
          <w:szCs w:val="24"/>
          <w:highlight w:val="none"/>
          <w:lang w:val="zh-CN"/>
        </w:rPr>
        <w:t>无效响应处理</w:t>
      </w:r>
      <w:r>
        <w:rPr>
          <w:rFonts w:hint="eastAsia" w:ascii="宋体" w:hAnsi="宋体" w:cs="Helvetica"/>
          <w:color w:val="auto"/>
          <w:sz w:val="24"/>
          <w:szCs w:val="24"/>
          <w:highlight w:val="none"/>
          <w:lang w:val="zh-CN"/>
        </w:rPr>
        <w:t>。</w:t>
      </w:r>
    </w:p>
    <w:p w14:paraId="10DDB1A4">
      <w:pPr>
        <w:pStyle w:val="99"/>
        <w:keepNext w:val="0"/>
        <w:keepLines w:val="0"/>
        <w:pageBreakBefore w:val="0"/>
        <w:widowControl w:val="0"/>
        <w:numPr>
          <w:ilvl w:val="0"/>
          <w:numId w:val="56"/>
        </w:numPr>
        <w:tabs>
          <w:tab w:val="left" w:pos="616"/>
        </w:tabs>
        <w:wordWrap/>
        <w:topLinePunct w:val="0"/>
        <w:autoSpaceDE/>
        <w:autoSpaceDN/>
        <w:bidi w:val="0"/>
        <w:spacing w:after="0" w:line="440" w:lineRule="exact"/>
        <w:ind w:hanging="356"/>
        <w:jc w:val="both"/>
        <w:textAlignment w:val="auto"/>
        <w:rPr>
          <w:rFonts w:ascii="宋体" w:hAnsi="宋体"/>
          <w:b/>
          <w:color w:val="auto"/>
          <w:sz w:val="24"/>
          <w:szCs w:val="24"/>
          <w:highlight w:val="none"/>
          <w:lang w:val="zh-CN"/>
        </w:rPr>
      </w:pPr>
      <w:r>
        <w:rPr>
          <w:rFonts w:hint="eastAsia" w:ascii="宋体" w:hAnsi="宋体"/>
          <w:b/>
          <w:bCs/>
          <w:color w:val="auto"/>
          <w:sz w:val="24"/>
          <w:szCs w:val="24"/>
          <w:highlight w:val="none"/>
          <w:lang w:val="zh-CN"/>
        </w:rPr>
        <w:t>政府采购节能环保政策</w:t>
      </w:r>
    </w:p>
    <w:p w14:paraId="23F488E4">
      <w:pPr>
        <w:keepNext w:val="0"/>
        <w:keepLines w:val="0"/>
        <w:pageBreakBefore w:val="0"/>
        <w:widowControl w:val="0"/>
        <w:wordWrap/>
        <w:topLinePunct w:val="0"/>
        <w:autoSpaceDE/>
        <w:autoSpaceDN/>
        <w:bidi w:val="0"/>
        <w:spacing w:after="0" w:line="440" w:lineRule="exact"/>
        <w:ind w:left="326" w:leftChars="148" w:firstLine="480" w:firstLineChars="200"/>
        <w:jc w:val="both"/>
        <w:textAlignment w:val="auto"/>
        <w:rPr>
          <w:rFonts w:ascii="宋体" w:hAnsi="宋体"/>
          <w:b/>
          <w:bCs/>
          <w:color w:val="auto"/>
          <w:kern w:val="2"/>
          <w:sz w:val="24"/>
          <w:szCs w:val="24"/>
          <w:highlight w:val="none"/>
          <w:lang w:val="zh-CN"/>
        </w:rPr>
      </w:pPr>
      <w:r>
        <w:rPr>
          <w:rFonts w:hint="eastAsia" w:ascii="宋体" w:hAnsi="宋体"/>
          <w:bCs/>
          <w:color w:val="auto"/>
          <w:sz w:val="24"/>
          <w:szCs w:val="24"/>
          <w:highlight w:val="none"/>
          <w:lang w:val="zh-CN"/>
        </w:rPr>
        <w:t>根据《财政部、发展改革委、生态环境部、市场监管总局关于调整优化节能产品、环境标志产品政府采购执行机制的通知（财库〔2019〕9号）》的规定，</w:t>
      </w:r>
      <w:r>
        <w:rPr>
          <w:rFonts w:hint="eastAsia" w:ascii="宋体" w:hAnsi="宋体"/>
          <w:bCs/>
          <w:color w:val="auto"/>
          <w:kern w:val="2"/>
          <w:sz w:val="24"/>
          <w:szCs w:val="24"/>
          <w:highlight w:val="none"/>
          <w:lang w:val="zh-CN"/>
        </w:rPr>
        <w:t>采购人拟采购产品属于品目清单</w:t>
      </w:r>
      <w:r>
        <w:rPr>
          <w:rFonts w:hint="eastAsia" w:ascii="宋体" w:hAnsi="宋体"/>
          <w:bCs/>
          <w:color w:val="auto"/>
          <w:sz w:val="24"/>
          <w:szCs w:val="24"/>
          <w:highlight w:val="none"/>
          <w:lang w:val="zh-CN"/>
        </w:rPr>
        <w:t>（指《财政部、生态环境部关于印发环境标志产品政府采购品目清单的通知（财库〔2019〕18号）》、《财政部、发展改革委关于印发节能产品政府采购品目清单的通知（财库〔2019〕19号）》所列清单）范围的，采购人及其委托的采购代理机构应当依据国家确定的认证机构（指《市场监管总局关于发布参与实施政府采购节能产品、环境标志产品认证机构名录的公告（2019年第16号）》中所列认证机构）出具的、处于有效期之内的节能产品、环境标志产品认证证书，对获得证书的产品实施政府优先采购或强制采购。</w:t>
      </w:r>
    </w:p>
    <w:p w14:paraId="77346206">
      <w:pPr>
        <w:keepNext w:val="0"/>
        <w:keepLines w:val="0"/>
        <w:pageBreakBefore w:val="0"/>
        <w:widowControl w:val="0"/>
        <w:numPr>
          <w:ilvl w:val="0"/>
          <w:numId w:val="49"/>
        </w:numPr>
        <w:wordWrap/>
        <w:topLinePunct w:val="0"/>
        <w:autoSpaceDE/>
        <w:autoSpaceDN/>
        <w:bidi w:val="0"/>
        <w:spacing w:after="0" w:line="440" w:lineRule="exact"/>
        <w:ind w:left="675" w:hanging="771" w:hangingChars="320"/>
        <w:jc w:val="both"/>
        <w:textAlignment w:val="auto"/>
        <w:rPr>
          <w:rFonts w:ascii="Helvetica" w:hAnsi="Helvetica" w:cs="Helvetica"/>
          <w:b/>
          <w:color w:val="auto"/>
          <w:sz w:val="24"/>
          <w:szCs w:val="24"/>
          <w:highlight w:val="none"/>
          <w:lang w:val="zh-CN"/>
        </w:rPr>
      </w:pPr>
      <w:r>
        <w:rPr>
          <w:rFonts w:hint="eastAsia" w:ascii="Helvetica" w:hAnsi="Helvetica" w:cs="Helvetica"/>
          <w:b/>
          <w:color w:val="auto"/>
          <w:sz w:val="24"/>
          <w:szCs w:val="24"/>
          <w:highlight w:val="none"/>
          <w:lang w:val="zh-CN"/>
        </w:rPr>
        <w:t>计分</w:t>
      </w:r>
      <w:r>
        <w:rPr>
          <w:rFonts w:ascii="Helvetica" w:hAnsi="Helvetica" w:cs="Helvetica"/>
          <w:b/>
          <w:color w:val="auto"/>
          <w:sz w:val="24"/>
          <w:szCs w:val="24"/>
          <w:highlight w:val="none"/>
          <w:lang w:val="zh-CN"/>
        </w:rPr>
        <w:t>办法</w:t>
      </w:r>
    </w:p>
    <w:p w14:paraId="2FA18029">
      <w:pPr>
        <w:pStyle w:val="99"/>
        <w:keepNext w:val="0"/>
        <w:keepLines w:val="0"/>
        <w:pageBreakBefore w:val="0"/>
        <w:numPr>
          <w:ilvl w:val="0"/>
          <w:numId w:val="58"/>
        </w:numPr>
        <w:tabs>
          <w:tab w:val="left" w:pos="567"/>
        </w:tabs>
        <w:wordWrap/>
        <w:topLinePunct w:val="0"/>
        <w:autoSpaceDE/>
        <w:autoSpaceDN/>
        <w:bidi w:val="0"/>
        <w:spacing w:after="0" w:line="440" w:lineRule="exact"/>
        <w:ind w:hanging="136"/>
        <w:textAlignment w:val="auto"/>
        <w:rPr>
          <w:rFonts w:ascii="宋体" w:hAnsi="宋体"/>
          <w:color w:val="auto"/>
          <w:sz w:val="24"/>
          <w:szCs w:val="24"/>
          <w:highlight w:val="none"/>
        </w:rPr>
      </w:pPr>
      <w:r>
        <w:rPr>
          <w:rFonts w:hint="eastAsia" w:ascii="宋体" w:hAnsi="宋体"/>
          <w:color w:val="auto"/>
          <w:sz w:val="24"/>
          <w:szCs w:val="24"/>
          <w:highlight w:val="none"/>
        </w:rPr>
        <w:t>采购代理机构对各评委的总分进行复核。各项统计结果保留小数点后两位，小数点后第三位</w:t>
      </w:r>
      <w:r>
        <w:rPr>
          <w:rFonts w:ascii="宋体" w:hAnsi="宋体"/>
          <w:color w:val="auto"/>
          <w:sz w:val="24"/>
          <w:szCs w:val="24"/>
          <w:highlight w:val="none"/>
        </w:rPr>
        <w:t>”</w:t>
      </w:r>
      <w:r>
        <w:rPr>
          <w:rFonts w:hint="eastAsia" w:ascii="宋体" w:hAnsi="宋体"/>
          <w:color w:val="auto"/>
          <w:sz w:val="24"/>
          <w:szCs w:val="24"/>
          <w:highlight w:val="none"/>
        </w:rPr>
        <w:t>四舍五入</w:t>
      </w:r>
      <w:r>
        <w:rPr>
          <w:rFonts w:ascii="宋体" w:hAnsi="宋体"/>
          <w:color w:val="auto"/>
          <w:sz w:val="24"/>
          <w:szCs w:val="24"/>
          <w:highlight w:val="none"/>
        </w:rPr>
        <w:t>”</w:t>
      </w:r>
      <w:r>
        <w:rPr>
          <w:rFonts w:hint="eastAsia" w:ascii="宋体" w:hAnsi="宋体"/>
          <w:color w:val="auto"/>
          <w:sz w:val="24"/>
          <w:szCs w:val="24"/>
          <w:highlight w:val="none"/>
        </w:rPr>
        <w:t>。</w:t>
      </w:r>
    </w:p>
    <w:p w14:paraId="61BE61A9">
      <w:pPr>
        <w:pStyle w:val="99"/>
        <w:keepNext w:val="0"/>
        <w:keepLines w:val="0"/>
        <w:pageBreakBefore w:val="0"/>
        <w:numPr>
          <w:ilvl w:val="0"/>
          <w:numId w:val="58"/>
        </w:numPr>
        <w:tabs>
          <w:tab w:val="left" w:pos="567"/>
        </w:tabs>
        <w:wordWrap/>
        <w:topLinePunct w:val="0"/>
        <w:autoSpaceDE/>
        <w:autoSpaceDN/>
        <w:bidi w:val="0"/>
        <w:spacing w:after="0" w:line="440" w:lineRule="exact"/>
        <w:ind w:hanging="136"/>
        <w:textAlignment w:val="auto"/>
        <w:rPr>
          <w:rFonts w:ascii="宋体" w:hAnsi="宋体"/>
          <w:color w:val="auto"/>
          <w:sz w:val="24"/>
          <w:szCs w:val="24"/>
          <w:highlight w:val="none"/>
        </w:rPr>
      </w:pPr>
      <w:r>
        <w:rPr>
          <w:rFonts w:hint="eastAsia" w:ascii="宋体" w:hAnsi="宋体"/>
          <w:color w:val="auto"/>
          <w:sz w:val="24"/>
          <w:szCs w:val="24"/>
          <w:highlight w:val="none"/>
        </w:rPr>
        <w:t>供应商的最终得分为各评委打分总和的平均值。</w:t>
      </w:r>
    </w:p>
    <w:p w14:paraId="5FB57625">
      <w:pPr>
        <w:keepNext w:val="0"/>
        <w:keepLines w:val="0"/>
        <w:pageBreakBefore w:val="0"/>
        <w:widowControl w:val="0"/>
        <w:numPr>
          <w:ilvl w:val="0"/>
          <w:numId w:val="49"/>
        </w:numPr>
        <w:wordWrap/>
        <w:topLinePunct w:val="0"/>
        <w:autoSpaceDE/>
        <w:autoSpaceDN/>
        <w:bidi w:val="0"/>
        <w:spacing w:after="0" w:line="440" w:lineRule="exact"/>
        <w:ind w:left="675" w:hanging="771" w:hangingChars="320"/>
        <w:jc w:val="both"/>
        <w:textAlignment w:val="auto"/>
        <w:rPr>
          <w:rFonts w:ascii="宋体" w:hAnsi="宋体"/>
          <w:b/>
          <w:color w:val="auto"/>
          <w:kern w:val="2"/>
          <w:sz w:val="24"/>
          <w:szCs w:val="24"/>
          <w:highlight w:val="none"/>
          <w:lang w:val="zh-CN"/>
        </w:rPr>
      </w:pPr>
      <w:r>
        <w:rPr>
          <w:rFonts w:hint="eastAsia" w:ascii="宋体" w:hAnsi="宋体"/>
          <w:b/>
          <w:color w:val="auto"/>
          <w:sz w:val="24"/>
          <w:szCs w:val="24"/>
          <w:highlight w:val="none"/>
          <w:lang w:val="zh-CN"/>
        </w:rPr>
        <w:t>推荐成交候选人名单或确定成交供应商</w:t>
      </w:r>
    </w:p>
    <w:p w14:paraId="4F825CE8">
      <w:pPr>
        <w:pStyle w:val="99"/>
        <w:keepNext w:val="0"/>
        <w:keepLines w:val="0"/>
        <w:pageBreakBefore w:val="0"/>
        <w:numPr>
          <w:ilvl w:val="0"/>
          <w:numId w:val="59"/>
        </w:numPr>
        <w:wordWrap/>
        <w:topLinePunct w:val="0"/>
        <w:autoSpaceDE/>
        <w:autoSpaceDN/>
        <w:bidi w:val="0"/>
        <w:spacing w:after="0" w:line="440" w:lineRule="exact"/>
        <w:ind w:left="567" w:hanging="283"/>
        <w:textAlignment w:val="auto"/>
        <w:rPr>
          <w:rFonts w:ascii="宋体" w:hAnsi="宋体"/>
          <w:color w:val="auto"/>
          <w:sz w:val="24"/>
          <w:szCs w:val="24"/>
          <w:highlight w:val="none"/>
        </w:rPr>
      </w:pPr>
      <w:r>
        <w:rPr>
          <w:rFonts w:hint="eastAsia" w:ascii="宋体" w:hAnsi="宋体"/>
          <w:color w:val="auto"/>
          <w:sz w:val="24"/>
          <w:szCs w:val="24"/>
          <w:highlight w:val="none"/>
        </w:rPr>
        <w:t>评审小组根据综合评分情况，按照评审得分由高到低顺序向采购人推荐3名以上成交候选供应商，并编写评审报告。评审得分相同的，按照最后报价由低到高的顺序推荐。评审得分且最后报价相同的，按照技术指标优劣顺序推荐。</w:t>
      </w:r>
    </w:p>
    <w:p w14:paraId="57330699">
      <w:pPr>
        <w:pStyle w:val="99"/>
        <w:keepNext w:val="0"/>
        <w:keepLines w:val="0"/>
        <w:pageBreakBefore w:val="0"/>
        <w:numPr>
          <w:ilvl w:val="0"/>
          <w:numId w:val="59"/>
        </w:numPr>
        <w:wordWrap/>
        <w:topLinePunct w:val="0"/>
        <w:autoSpaceDE/>
        <w:autoSpaceDN/>
        <w:bidi w:val="0"/>
        <w:spacing w:after="0" w:line="440" w:lineRule="exact"/>
        <w:ind w:left="567" w:hanging="283"/>
        <w:textAlignment w:val="auto"/>
        <w:rPr>
          <w:rFonts w:ascii="宋体" w:hAnsi="宋体"/>
          <w:color w:val="auto"/>
          <w:sz w:val="24"/>
          <w:szCs w:val="24"/>
          <w:highlight w:val="none"/>
        </w:rPr>
      </w:pPr>
      <w:r>
        <w:rPr>
          <w:rFonts w:hint="eastAsia" w:ascii="宋体" w:hAnsi="宋体"/>
          <w:color w:val="auto"/>
          <w:sz w:val="24"/>
          <w:szCs w:val="24"/>
          <w:highlight w:val="none"/>
        </w:rPr>
        <w:t>若供应商同时投多</w:t>
      </w:r>
      <w:r>
        <w:rPr>
          <w:rFonts w:hint="eastAsia" w:ascii="宋体" w:hAnsi="宋体"/>
          <w:color w:val="auto"/>
          <w:sz w:val="24"/>
          <w:szCs w:val="24"/>
          <w:highlight w:val="none"/>
          <w:lang w:val="zh-CN"/>
        </w:rPr>
        <w:t>标段</w:t>
      </w:r>
      <w:r>
        <w:rPr>
          <w:rFonts w:hint="eastAsia" w:hAnsi="宋体"/>
          <w:color w:val="auto"/>
          <w:sz w:val="24"/>
          <w:szCs w:val="24"/>
          <w:highlight w:val="none"/>
        </w:rPr>
        <w:t>，根据《供应商须知前附表》的规定确定各</w:t>
      </w:r>
      <w:r>
        <w:rPr>
          <w:rFonts w:hint="eastAsia" w:ascii="宋体" w:hAnsi="宋体"/>
          <w:color w:val="auto"/>
          <w:sz w:val="24"/>
          <w:szCs w:val="24"/>
          <w:highlight w:val="none"/>
          <w:lang w:val="zh-CN"/>
        </w:rPr>
        <w:t>标段</w:t>
      </w:r>
      <w:r>
        <w:rPr>
          <w:rFonts w:hint="eastAsia" w:hAnsi="宋体"/>
          <w:color w:val="auto"/>
          <w:sz w:val="24"/>
          <w:szCs w:val="24"/>
          <w:highlight w:val="none"/>
        </w:rPr>
        <w:t>成交候选人。</w:t>
      </w:r>
    </w:p>
    <w:p w14:paraId="5B90FF03">
      <w:pPr>
        <w:pStyle w:val="99"/>
        <w:keepNext w:val="0"/>
        <w:keepLines w:val="0"/>
        <w:pageBreakBefore w:val="0"/>
        <w:numPr>
          <w:ilvl w:val="0"/>
          <w:numId w:val="59"/>
        </w:numPr>
        <w:wordWrap/>
        <w:topLinePunct w:val="0"/>
        <w:autoSpaceDE/>
        <w:autoSpaceDN/>
        <w:bidi w:val="0"/>
        <w:spacing w:after="0" w:line="440" w:lineRule="exact"/>
        <w:ind w:left="567" w:hanging="283"/>
        <w:textAlignment w:val="auto"/>
        <w:rPr>
          <w:rFonts w:ascii="宋体" w:hAnsi="宋体"/>
          <w:color w:val="auto"/>
          <w:sz w:val="24"/>
          <w:szCs w:val="24"/>
          <w:highlight w:val="none"/>
        </w:rPr>
      </w:pPr>
      <w:r>
        <w:rPr>
          <w:rFonts w:hint="eastAsia" w:ascii="宋体" w:hAnsi="宋体"/>
          <w:color w:val="auto"/>
          <w:sz w:val="24"/>
          <w:szCs w:val="24"/>
          <w:highlight w:val="none"/>
        </w:rPr>
        <w:t>评审小组应当在评审报告上签名，对自己的评审意见承担法律责任。对评审报告有异议的，应当在评审报告上签署不同意见，并说明理由，否则视为同意评审报告。</w:t>
      </w:r>
    </w:p>
    <w:p w14:paraId="6493F15A">
      <w:pPr>
        <w:keepNext w:val="0"/>
        <w:keepLines w:val="0"/>
        <w:pageBreakBefore w:val="0"/>
        <w:widowControl w:val="0"/>
        <w:wordWrap/>
        <w:topLinePunct w:val="0"/>
        <w:autoSpaceDE/>
        <w:autoSpaceDN/>
        <w:bidi w:val="0"/>
        <w:spacing w:after="0" w:line="440" w:lineRule="exact"/>
        <w:jc w:val="both"/>
        <w:textAlignment w:val="auto"/>
        <w:rPr>
          <w:rFonts w:ascii="Helvetica" w:hAnsi="Helvetica" w:cs="Helvetica"/>
          <w:color w:val="auto"/>
          <w:sz w:val="24"/>
          <w:szCs w:val="24"/>
          <w:highlight w:val="none"/>
        </w:rPr>
      </w:pPr>
    </w:p>
    <w:p w14:paraId="1A9EECAE">
      <w:pPr>
        <w:pStyle w:val="99"/>
        <w:keepNext w:val="0"/>
        <w:keepLines w:val="0"/>
        <w:pageBreakBefore w:val="0"/>
        <w:numPr>
          <w:ilvl w:val="0"/>
          <w:numId w:val="48"/>
        </w:numPr>
        <w:tabs>
          <w:tab w:val="left" w:pos="426"/>
        </w:tabs>
        <w:wordWrap/>
        <w:topLinePunct w:val="0"/>
        <w:autoSpaceDE/>
        <w:autoSpaceDN/>
        <w:bidi w:val="0"/>
        <w:adjustRightInd w:val="0"/>
        <w:snapToGrid w:val="0"/>
        <w:spacing w:after="0" w:line="440" w:lineRule="exact"/>
        <w:textAlignment w:val="auto"/>
        <w:outlineLvl w:val="1"/>
        <w:rPr>
          <w:rFonts w:ascii="宋体" w:hAnsi="宋体" w:cs="宋体"/>
          <w:b/>
          <w:color w:val="auto"/>
          <w:sz w:val="24"/>
          <w:szCs w:val="24"/>
          <w:highlight w:val="none"/>
        </w:rPr>
      </w:pPr>
      <w:r>
        <w:rPr>
          <w:rFonts w:hint="eastAsia" w:ascii="宋体" w:hAnsi="宋体" w:cs="宋体"/>
          <w:b/>
          <w:color w:val="auto"/>
          <w:sz w:val="24"/>
          <w:szCs w:val="24"/>
          <w:highlight w:val="none"/>
        </w:rPr>
        <w:t>评审因素及评分标准</w:t>
      </w:r>
    </w:p>
    <w:tbl>
      <w:tblPr>
        <w:tblStyle w:val="36"/>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787"/>
        <w:gridCol w:w="538"/>
        <w:gridCol w:w="7282"/>
      </w:tblGrid>
      <w:tr w14:paraId="049A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2" w:type="dxa"/>
            <w:tcBorders>
              <w:top w:val="single" w:color="auto" w:sz="4" w:space="0"/>
              <w:left w:val="single" w:color="auto" w:sz="4" w:space="0"/>
              <w:bottom w:val="single" w:color="auto" w:sz="4" w:space="0"/>
              <w:right w:val="single" w:color="auto" w:sz="4" w:space="0"/>
            </w:tcBorders>
            <w:vAlign w:val="center"/>
          </w:tcPr>
          <w:p w14:paraId="6F34AD43">
            <w:pPr>
              <w:keepNext w:val="0"/>
              <w:keepLines w:val="0"/>
              <w:pageBreakBefore w:val="0"/>
              <w:widowControl/>
              <w:kinsoku w:val="0"/>
              <w:wordWrap/>
              <w:overflowPunct w:val="0"/>
              <w:topLinePunct w:val="0"/>
              <w:autoSpaceDE/>
              <w:autoSpaceDN/>
              <w:bidi w:val="0"/>
              <w:adjustRightInd/>
              <w:snapToGrid/>
              <w:spacing w:after="0" w:line="240" w:lineRule="auto"/>
              <w:jc w:val="center"/>
              <w:textAlignment w:val="auto"/>
              <w:rPr>
                <w:rFonts w:hint="eastAsia" w:ascii="宋体" w:hAnsi="宋体" w:eastAsia="宋体" w:cs="宋体"/>
                <w:b/>
                <w:color w:val="auto"/>
                <w:kern w:val="2"/>
                <w:sz w:val="24"/>
                <w:szCs w:val="24"/>
                <w:highlight w:val="none"/>
              </w:rPr>
            </w:pPr>
            <w:bookmarkStart w:id="129" w:name="_Toc494664993"/>
            <w:bookmarkStart w:id="130" w:name="_Toc494745310"/>
            <w:bookmarkStart w:id="131" w:name="_Toc494721093"/>
            <w:bookmarkStart w:id="132" w:name="_Toc477008284"/>
            <w:bookmarkStart w:id="133" w:name="_Toc494702263"/>
            <w:bookmarkStart w:id="134" w:name="_Toc494665943"/>
            <w:bookmarkStart w:id="135" w:name="_Toc494665546"/>
            <w:bookmarkStart w:id="136" w:name="_Toc5082"/>
            <w:r>
              <w:rPr>
                <w:rFonts w:hint="eastAsia" w:ascii="宋体" w:hAnsi="宋体" w:eastAsia="宋体" w:cs="宋体"/>
                <w:b/>
                <w:color w:val="auto"/>
                <w:spacing w:val="2"/>
                <w:kern w:val="2"/>
                <w:sz w:val="24"/>
                <w:szCs w:val="24"/>
                <w:highlight w:val="none"/>
              </w:rPr>
              <w:t>项目</w:t>
            </w:r>
          </w:p>
        </w:tc>
        <w:tc>
          <w:tcPr>
            <w:tcW w:w="787" w:type="dxa"/>
            <w:tcBorders>
              <w:top w:val="single" w:color="auto" w:sz="4" w:space="0"/>
              <w:left w:val="single" w:color="auto" w:sz="4" w:space="0"/>
              <w:bottom w:val="single" w:color="auto" w:sz="4" w:space="0"/>
              <w:right w:val="single" w:color="auto" w:sz="4" w:space="0"/>
            </w:tcBorders>
            <w:vAlign w:val="center"/>
          </w:tcPr>
          <w:p w14:paraId="52E7E018">
            <w:pPr>
              <w:keepNext w:val="0"/>
              <w:keepLines w:val="0"/>
              <w:pageBreakBefore w:val="0"/>
              <w:widowControl/>
              <w:kinsoku w:val="0"/>
              <w:wordWrap/>
              <w:overflowPunct w:val="0"/>
              <w:topLinePunct w:val="0"/>
              <w:autoSpaceDE/>
              <w:autoSpaceDN/>
              <w:bidi w:val="0"/>
              <w:adjustRightInd/>
              <w:snapToGrid/>
              <w:spacing w:after="0" w:line="240" w:lineRule="auto"/>
              <w:jc w:val="center"/>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spacing w:val="2"/>
                <w:kern w:val="2"/>
                <w:sz w:val="24"/>
                <w:szCs w:val="24"/>
                <w:highlight w:val="none"/>
              </w:rPr>
              <w:t>评审因素</w:t>
            </w:r>
          </w:p>
        </w:tc>
        <w:tc>
          <w:tcPr>
            <w:tcW w:w="538" w:type="dxa"/>
            <w:tcBorders>
              <w:top w:val="single" w:color="auto" w:sz="4" w:space="0"/>
              <w:left w:val="single" w:color="auto" w:sz="4" w:space="0"/>
              <w:bottom w:val="single" w:color="auto" w:sz="4" w:space="0"/>
              <w:right w:val="single" w:color="auto" w:sz="4" w:space="0"/>
            </w:tcBorders>
            <w:vAlign w:val="center"/>
          </w:tcPr>
          <w:p w14:paraId="248CE332">
            <w:pPr>
              <w:keepNext w:val="0"/>
              <w:keepLines w:val="0"/>
              <w:pageBreakBefore w:val="0"/>
              <w:widowControl/>
              <w:kinsoku w:val="0"/>
              <w:wordWrap/>
              <w:overflowPunct w:val="0"/>
              <w:topLinePunct w:val="0"/>
              <w:autoSpaceDE/>
              <w:autoSpaceDN/>
              <w:bidi w:val="0"/>
              <w:adjustRightInd/>
              <w:snapToGrid/>
              <w:spacing w:after="0" w:line="240" w:lineRule="auto"/>
              <w:jc w:val="center"/>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spacing w:val="2"/>
                <w:kern w:val="2"/>
                <w:sz w:val="24"/>
                <w:szCs w:val="24"/>
                <w:highlight w:val="none"/>
              </w:rPr>
              <w:t>分</w:t>
            </w:r>
            <w:r>
              <w:rPr>
                <w:rFonts w:hint="eastAsia" w:ascii="宋体" w:hAnsi="宋体" w:eastAsia="宋体" w:cs="宋体"/>
                <w:b/>
                <w:color w:val="auto"/>
                <w:kern w:val="2"/>
                <w:sz w:val="24"/>
                <w:szCs w:val="24"/>
                <w:highlight w:val="none"/>
              </w:rPr>
              <w:t>值</w:t>
            </w:r>
          </w:p>
        </w:tc>
        <w:tc>
          <w:tcPr>
            <w:tcW w:w="7282" w:type="dxa"/>
            <w:tcBorders>
              <w:top w:val="single" w:color="auto" w:sz="4" w:space="0"/>
              <w:left w:val="single" w:color="auto" w:sz="4" w:space="0"/>
              <w:bottom w:val="single" w:color="auto" w:sz="4" w:space="0"/>
              <w:right w:val="single" w:color="auto" w:sz="4" w:space="0"/>
            </w:tcBorders>
            <w:vAlign w:val="center"/>
          </w:tcPr>
          <w:p w14:paraId="4BF4ACE9">
            <w:pPr>
              <w:keepNext w:val="0"/>
              <w:keepLines w:val="0"/>
              <w:pageBreakBefore w:val="0"/>
              <w:widowControl/>
              <w:kinsoku w:val="0"/>
              <w:wordWrap/>
              <w:overflowPunct w:val="0"/>
              <w:topLinePunct w:val="0"/>
              <w:autoSpaceDE/>
              <w:autoSpaceDN/>
              <w:bidi w:val="0"/>
              <w:adjustRightInd/>
              <w:snapToGrid/>
              <w:spacing w:after="0" w:line="240" w:lineRule="auto"/>
              <w:ind w:left="30"/>
              <w:jc w:val="center"/>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spacing w:val="2"/>
                <w:kern w:val="2"/>
                <w:sz w:val="24"/>
                <w:szCs w:val="24"/>
                <w:highlight w:val="none"/>
              </w:rPr>
              <w:t>评分标</w:t>
            </w:r>
            <w:r>
              <w:rPr>
                <w:rFonts w:hint="eastAsia" w:ascii="宋体" w:hAnsi="宋体" w:eastAsia="宋体" w:cs="宋体"/>
                <w:b/>
                <w:color w:val="auto"/>
                <w:kern w:val="2"/>
                <w:sz w:val="24"/>
                <w:szCs w:val="24"/>
                <w:highlight w:val="none"/>
              </w:rPr>
              <w:t>准</w:t>
            </w:r>
          </w:p>
        </w:tc>
      </w:tr>
      <w:tr w14:paraId="42B2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blHeader/>
          <w:jc w:val="center"/>
        </w:trPr>
        <w:tc>
          <w:tcPr>
            <w:tcW w:w="812" w:type="dxa"/>
            <w:tcBorders>
              <w:top w:val="single" w:color="auto" w:sz="4" w:space="0"/>
              <w:left w:val="single" w:color="auto" w:sz="4" w:space="0"/>
              <w:bottom w:val="single" w:color="auto" w:sz="4" w:space="0"/>
              <w:right w:val="single" w:color="auto" w:sz="4" w:space="0"/>
            </w:tcBorders>
            <w:vAlign w:val="center"/>
          </w:tcPr>
          <w:p w14:paraId="533BEC9F">
            <w:pPr>
              <w:keepNext w:val="0"/>
              <w:keepLines w:val="0"/>
              <w:pageBreakBefore w:val="0"/>
              <w:widowControl/>
              <w:kinsoku w:val="0"/>
              <w:wordWrap/>
              <w:overflowPunct w:val="0"/>
              <w:topLinePunct w:val="0"/>
              <w:autoSpaceDE/>
              <w:autoSpaceDN/>
              <w:bidi w:val="0"/>
              <w:adjustRightInd/>
              <w:snapToGrid/>
              <w:spacing w:after="0" w:line="240" w:lineRule="auto"/>
              <w:ind w:left="103"/>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pacing w:val="-1"/>
                <w:kern w:val="2"/>
                <w:sz w:val="24"/>
                <w:szCs w:val="24"/>
                <w:highlight w:val="none"/>
              </w:rPr>
              <w:t>价</w:t>
            </w:r>
            <w:r>
              <w:rPr>
                <w:rFonts w:hint="eastAsia" w:ascii="宋体" w:hAnsi="宋体" w:eastAsia="宋体" w:cs="宋体"/>
                <w:color w:val="auto"/>
                <w:spacing w:val="2"/>
                <w:kern w:val="2"/>
                <w:sz w:val="24"/>
                <w:szCs w:val="24"/>
                <w:highlight w:val="none"/>
              </w:rPr>
              <w:t>格</w:t>
            </w:r>
            <w:r>
              <w:rPr>
                <w:rFonts w:hint="eastAsia" w:ascii="宋体" w:hAnsi="宋体" w:eastAsia="宋体" w:cs="宋体"/>
                <w:color w:val="auto"/>
                <w:kern w:val="2"/>
                <w:sz w:val="24"/>
                <w:szCs w:val="24"/>
                <w:highlight w:val="none"/>
              </w:rPr>
              <w:t>部</w:t>
            </w:r>
            <w:r>
              <w:rPr>
                <w:rFonts w:hint="eastAsia" w:ascii="宋体" w:hAnsi="宋体" w:eastAsia="宋体" w:cs="宋体"/>
                <w:color w:val="auto"/>
                <w:spacing w:val="-1"/>
                <w:kern w:val="2"/>
                <w:sz w:val="24"/>
                <w:szCs w:val="24"/>
                <w:highlight w:val="none"/>
              </w:rPr>
              <w:t>分</w:t>
            </w:r>
            <w:r>
              <w:rPr>
                <w:rFonts w:hint="eastAsia" w:ascii="宋体" w:hAnsi="宋体" w:eastAsia="宋体" w:cs="宋体"/>
                <w:color w:val="auto"/>
                <w:spacing w:val="2"/>
                <w:kern w:val="2"/>
                <w:sz w:val="24"/>
                <w:szCs w:val="24"/>
                <w:highlight w:val="none"/>
              </w:rPr>
              <w:t>（</w:t>
            </w:r>
            <w:r>
              <w:rPr>
                <w:rFonts w:hint="eastAsia" w:ascii="宋体" w:hAnsi="宋体" w:cs="宋体"/>
                <w:color w:val="auto"/>
                <w:spacing w:val="-2"/>
                <w:kern w:val="2"/>
                <w:sz w:val="24"/>
                <w:szCs w:val="24"/>
                <w:highlight w:val="none"/>
                <w:lang w:val="en-US" w:eastAsia="zh-CN"/>
              </w:rPr>
              <w:t>10</w:t>
            </w:r>
            <w:r>
              <w:rPr>
                <w:rFonts w:hint="eastAsia" w:ascii="宋体" w:hAnsi="宋体" w:eastAsia="宋体" w:cs="宋体"/>
                <w:color w:val="auto"/>
                <w:spacing w:val="-1"/>
                <w:kern w:val="2"/>
                <w:sz w:val="24"/>
                <w:szCs w:val="24"/>
                <w:highlight w:val="none"/>
              </w:rPr>
              <w:t>分</w:t>
            </w:r>
            <w:r>
              <w:rPr>
                <w:rFonts w:hint="eastAsia" w:ascii="宋体" w:hAnsi="宋体" w:eastAsia="宋体" w:cs="宋体"/>
                <w:color w:val="auto"/>
                <w:kern w:val="2"/>
                <w:sz w:val="24"/>
                <w:szCs w:val="24"/>
                <w:highlight w:val="none"/>
              </w:rPr>
              <w:t>）</w:t>
            </w:r>
          </w:p>
        </w:tc>
        <w:tc>
          <w:tcPr>
            <w:tcW w:w="787" w:type="dxa"/>
            <w:tcBorders>
              <w:top w:val="single" w:color="auto" w:sz="4" w:space="0"/>
              <w:left w:val="single" w:color="auto" w:sz="4" w:space="0"/>
              <w:bottom w:val="single" w:color="auto" w:sz="4" w:space="0"/>
              <w:right w:val="single" w:color="auto" w:sz="4" w:space="0"/>
            </w:tcBorders>
            <w:vAlign w:val="center"/>
          </w:tcPr>
          <w:p w14:paraId="3CF16A80">
            <w:pPr>
              <w:keepNext w:val="0"/>
              <w:keepLines w:val="0"/>
              <w:pageBreakBefore w:val="0"/>
              <w:widowControl/>
              <w:wordWrap/>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pacing w:val="-1"/>
                <w:kern w:val="2"/>
                <w:sz w:val="24"/>
                <w:szCs w:val="24"/>
                <w:highlight w:val="none"/>
              </w:rPr>
              <w:t>价</w:t>
            </w:r>
            <w:r>
              <w:rPr>
                <w:rFonts w:hint="eastAsia" w:ascii="宋体" w:hAnsi="宋体" w:eastAsia="宋体" w:cs="宋体"/>
                <w:color w:val="auto"/>
                <w:spacing w:val="2"/>
                <w:kern w:val="2"/>
                <w:sz w:val="24"/>
                <w:szCs w:val="24"/>
                <w:highlight w:val="none"/>
              </w:rPr>
              <w:t>格</w:t>
            </w:r>
            <w:r>
              <w:rPr>
                <w:rFonts w:hint="eastAsia" w:ascii="宋体" w:hAnsi="宋体" w:eastAsia="宋体" w:cs="宋体"/>
                <w:color w:val="auto"/>
                <w:spacing w:val="-1"/>
                <w:kern w:val="2"/>
                <w:sz w:val="24"/>
                <w:szCs w:val="24"/>
                <w:highlight w:val="none"/>
              </w:rPr>
              <w:t>评</w:t>
            </w:r>
            <w:r>
              <w:rPr>
                <w:rFonts w:hint="eastAsia" w:ascii="宋体" w:hAnsi="宋体" w:eastAsia="宋体" w:cs="宋体"/>
                <w:color w:val="auto"/>
                <w:kern w:val="2"/>
                <w:sz w:val="24"/>
                <w:szCs w:val="24"/>
                <w:highlight w:val="none"/>
              </w:rPr>
              <w:t>议</w:t>
            </w:r>
          </w:p>
        </w:tc>
        <w:tc>
          <w:tcPr>
            <w:tcW w:w="538" w:type="dxa"/>
            <w:tcBorders>
              <w:top w:val="single" w:color="auto" w:sz="4" w:space="0"/>
              <w:left w:val="single" w:color="auto" w:sz="4" w:space="0"/>
              <w:bottom w:val="single" w:color="auto" w:sz="4" w:space="0"/>
              <w:right w:val="single" w:color="auto" w:sz="4" w:space="0"/>
            </w:tcBorders>
            <w:vAlign w:val="center"/>
          </w:tcPr>
          <w:p w14:paraId="148F8911">
            <w:pPr>
              <w:keepNext w:val="0"/>
              <w:keepLines w:val="0"/>
              <w:pageBreakBefore w:val="0"/>
              <w:widowControl/>
              <w:wordWrap/>
              <w:topLinePunct w:val="0"/>
              <w:autoSpaceDE/>
              <w:autoSpaceDN/>
              <w:bidi w:val="0"/>
              <w:adjustRightInd/>
              <w:snapToGrid/>
              <w:spacing w:after="0" w:line="240" w:lineRule="auto"/>
              <w:jc w:val="center"/>
              <w:textAlignment w:val="auto"/>
              <w:rPr>
                <w:rFonts w:hint="default" w:ascii="宋体" w:hAnsi="宋体" w:eastAsia="宋体" w:cs="宋体"/>
                <w:color w:val="auto"/>
                <w:kern w:val="2"/>
                <w:sz w:val="24"/>
                <w:szCs w:val="24"/>
                <w:highlight w:val="none"/>
                <w:lang w:val="en-US" w:eastAsia="zh-CN"/>
              </w:rPr>
            </w:pPr>
            <w:r>
              <w:rPr>
                <w:rFonts w:hint="eastAsia" w:ascii="宋体" w:hAnsi="宋体" w:cs="宋体"/>
                <w:color w:val="auto"/>
                <w:spacing w:val="1"/>
                <w:kern w:val="2"/>
                <w:sz w:val="24"/>
                <w:szCs w:val="24"/>
                <w:highlight w:val="none"/>
                <w:lang w:val="en-US" w:eastAsia="zh-CN"/>
              </w:rPr>
              <w:t>10</w:t>
            </w:r>
          </w:p>
        </w:tc>
        <w:tc>
          <w:tcPr>
            <w:tcW w:w="7282" w:type="dxa"/>
            <w:tcBorders>
              <w:top w:val="single" w:color="auto" w:sz="4" w:space="0"/>
              <w:left w:val="single" w:color="auto" w:sz="4" w:space="0"/>
              <w:bottom w:val="single" w:color="auto" w:sz="4" w:space="0"/>
              <w:right w:val="single" w:color="auto" w:sz="4" w:space="0"/>
            </w:tcBorders>
          </w:tcPr>
          <w:p w14:paraId="618A1F79">
            <w:pPr>
              <w:keepNext w:val="0"/>
              <w:keepLines w:val="0"/>
              <w:pageBreakBefore w:val="0"/>
              <w:widowControl/>
              <w:wordWrap/>
              <w:topLinePunct w:val="0"/>
              <w:autoSpaceDE/>
              <w:autoSpaceDN/>
              <w:bidi w:val="0"/>
              <w:adjustRightInd/>
              <w:snapToGrid/>
              <w:spacing w:after="0" w:line="240" w:lineRule="auto"/>
              <w:textAlignment w:val="auto"/>
              <w:rPr>
                <w:rFonts w:hint="eastAsia" w:ascii="宋体" w:hAnsi="宋体" w:eastAsia="宋体" w:cs="宋体"/>
                <w:color w:val="auto"/>
                <w:kern w:val="2"/>
                <w:sz w:val="24"/>
                <w:szCs w:val="24"/>
                <w:highlight w:val="none"/>
                <w:lang w:val="zh-CN" w:bidi="ar"/>
              </w:rPr>
            </w:pPr>
            <w:r>
              <w:rPr>
                <w:rFonts w:hint="eastAsia" w:ascii="宋体" w:hAnsi="宋体" w:eastAsia="宋体" w:cs="宋体"/>
                <w:color w:val="auto"/>
                <w:kern w:val="2"/>
                <w:sz w:val="24"/>
                <w:szCs w:val="24"/>
                <w:highlight w:val="none"/>
                <w:lang w:val="zh-CN" w:bidi="ar"/>
              </w:rPr>
              <w:t>价格分采用低价优先法计算，即满足采购文件要求且最后报价最低的供应商的价格为磋商基准价，其价格分为满分。其他供应商的价格分统一按下列公式计算：</w:t>
            </w:r>
          </w:p>
          <w:p w14:paraId="0AE65E0B">
            <w:pPr>
              <w:keepNext w:val="0"/>
              <w:keepLines w:val="0"/>
              <w:pageBreakBefore w:val="0"/>
              <w:widowControl/>
              <w:wordWrap/>
              <w:topLinePunct w:val="0"/>
              <w:autoSpaceDE/>
              <w:autoSpaceDN/>
              <w:bidi w:val="0"/>
              <w:adjustRightInd/>
              <w:snapToGrid/>
              <w:spacing w:after="0" w:line="240" w:lineRule="auto"/>
              <w:textAlignment w:val="auto"/>
              <w:rPr>
                <w:rFonts w:hint="eastAsia" w:ascii="宋体" w:hAnsi="宋体" w:eastAsia="宋体" w:cs="宋体"/>
                <w:color w:val="auto"/>
                <w:kern w:val="2"/>
                <w:sz w:val="24"/>
                <w:szCs w:val="24"/>
                <w:highlight w:val="none"/>
                <w:lang w:val="zh-CN" w:bidi="ar"/>
              </w:rPr>
            </w:pPr>
            <w:r>
              <w:rPr>
                <w:rFonts w:hint="eastAsia" w:ascii="宋体" w:hAnsi="宋体" w:eastAsia="宋体" w:cs="宋体"/>
                <w:color w:val="auto"/>
                <w:kern w:val="2"/>
                <w:sz w:val="24"/>
                <w:szCs w:val="24"/>
                <w:highlight w:val="none"/>
                <w:lang w:val="zh-CN" w:bidi="ar"/>
              </w:rPr>
              <w:t>磋商报价得分=(磋商基准价／最后磋商报价)×</w:t>
            </w:r>
            <w:r>
              <w:rPr>
                <w:rFonts w:hint="eastAsia" w:ascii="宋体" w:hAnsi="宋体" w:cs="宋体"/>
                <w:color w:val="auto"/>
                <w:kern w:val="2"/>
                <w:sz w:val="24"/>
                <w:szCs w:val="24"/>
                <w:highlight w:val="none"/>
                <w:lang w:val="en-US" w:eastAsia="zh-CN" w:bidi="ar"/>
              </w:rPr>
              <w:t>10</w:t>
            </w:r>
            <w:r>
              <w:rPr>
                <w:rFonts w:hint="eastAsia" w:ascii="宋体" w:hAnsi="宋体" w:eastAsia="宋体" w:cs="宋体"/>
                <w:color w:val="auto"/>
                <w:kern w:val="2"/>
                <w:sz w:val="24"/>
                <w:szCs w:val="24"/>
                <w:highlight w:val="none"/>
                <w:lang w:val="zh-CN" w:bidi="ar"/>
              </w:rPr>
              <w:t>%×100</w:t>
            </w:r>
          </w:p>
          <w:p w14:paraId="7B10A985">
            <w:pPr>
              <w:keepNext w:val="0"/>
              <w:keepLines w:val="0"/>
              <w:pageBreakBefore w:val="0"/>
              <w:widowControl/>
              <w:wordWrap/>
              <w:topLinePunct w:val="0"/>
              <w:autoSpaceDE/>
              <w:autoSpaceDN/>
              <w:bidi w:val="0"/>
              <w:adjustRightInd/>
              <w:snapToGrid/>
              <w:spacing w:after="0" w:line="240" w:lineRule="auto"/>
              <w:textAlignment w:val="auto"/>
              <w:rPr>
                <w:rFonts w:hint="default" w:ascii="宋体" w:hAnsi="宋体" w:eastAsia="宋体" w:cs="宋体"/>
                <w:color w:val="auto"/>
                <w:kern w:val="2"/>
                <w:sz w:val="24"/>
                <w:szCs w:val="24"/>
                <w:highlight w:val="none"/>
                <w:lang w:val="en-US" w:eastAsia="zh-CN" w:bidi="ar"/>
              </w:rPr>
            </w:pPr>
            <w:r>
              <w:rPr>
                <w:rFonts w:hint="eastAsia" w:ascii="宋体" w:hAnsi="宋体" w:cs="宋体"/>
                <w:b/>
                <w:bCs/>
                <w:color w:val="auto"/>
                <w:kern w:val="2"/>
                <w:sz w:val="24"/>
                <w:szCs w:val="24"/>
                <w:highlight w:val="none"/>
                <w:lang w:val="en-US" w:eastAsia="zh-CN" w:bidi="ar"/>
              </w:rPr>
              <w:t>说明：本项目仅对管理费报价部分进行价格评议。</w:t>
            </w:r>
          </w:p>
        </w:tc>
      </w:tr>
      <w:tr w14:paraId="4618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812" w:type="dxa"/>
            <w:vMerge w:val="restart"/>
            <w:tcBorders>
              <w:top w:val="single" w:color="auto" w:sz="4" w:space="0"/>
              <w:left w:val="single" w:color="auto" w:sz="4" w:space="0"/>
              <w:bottom w:val="single" w:color="auto" w:sz="4" w:space="0"/>
              <w:right w:val="single" w:color="auto" w:sz="4" w:space="0"/>
            </w:tcBorders>
            <w:vAlign w:val="center"/>
          </w:tcPr>
          <w:p w14:paraId="5510781D">
            <w:pPr>
              <w:keepNext w:val="0"/>
              <w:keepLines w:val="0"/>
              <w:pageBreakBefore w:val="0"/>
              <w:widowControl/>
              <w:kinsoku w:val="0"/>
              <w:wordWrap/>
              <w:overflowPunct w:val="0"/>
              <w:topLinePunct w:val="0"/>
              <w:autoSpaceDE/>
              <w:autoSpaceDN/>
              <w:bidi w:val="0"/>
              <w:adjustRightInd/>
              <w:snapToGrid/>
              <w:spacing w:after="0" w:line="240" w:lineRule="auto"/>
              <w:ind w:left="103"/>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商务部分（</w:t>
            </w:r>
            <w:r>
              <w:rPr>
                <w:rFonts w:hint="eastAsia" w:ascii="宋体" w:hAnsi="宋体" w:cs="宋体"/>
                <w:color w:val="auto"/>
                <w:kern w:val="2"/>
                <w:sz w:val="24"/>
                <w:szCs w:val="24"/>
                <w:highlight w:val="none"/>
                <w:lang w:val="en-US" w:eastAsia="zh-CN"/>
              </w:rPr>
              <w:t>38</w:t>
            </w:r>
            <w:r>
              <w:rPr>
                <w:rFonts w:hint="eastAsia" w:ascii="宋体" w:hAnsi="宋体" w:eastAsia="宋体" w:cs="宋体"/>
                <w:color w:val="auto"/>
                <w:kern w:val="2"/>
                <w:sz w:val="24"/>
                <w:szCs w:val="24"/>
                <w:highlight w:val="none"/>
              </w:rPr>
              <w:t>分）</w:t>
            </w:r>
          </w:p>
        </w:tc>
        <w:tc>
          <w:tcPr>
            <w:tcW w:w="787" w:type="dxa"/>
            <w:tcBorders>
              <w:top w:val="single" w:color="auto" w:sz="4" w:space="0"/>
              <w:left w:val="single" w:color="auto" w:sz="4" w:space="0"/>
              <w:right w:val="single" w:color="auto" w:sz="4" w:space="0"/>
            </w:tcBorders>
            <w:vAlign w:val="center"/>
          </w:tcPr>
          <w:p w14:paraId="73DCE3D9">
            <w:pPr>
              <w:keepNext w:val="0"/>
              <w:keepLines w:val="0"/>
              <w:pageBreakBefore w:val="0"/>
              <w:widowControl/>
              <w:wordWrap/>
              <w:topLinePunct w:val="0"/>
              <w:autoSpaceDE/>
              <w:autoSpaceDN/>
              <w:bidi w:val="0"/>
              <w:adjustRightInd/>
              <w:snapToGrid/>
              <w:spacing w:after="0" w:line="240" w:lineRule="auto"/>
              <w:jc w:val="center"/>
              <w:textAlignment w:val="auto"/>
              <w:rPr>
                <w:rFonts w:hint="eastAsia" w:ascii="宋体" w:hAnsi="宋体" w:eastAsia="宋体" w:cs="宋体"/>
                <w:color w:val="auto"/>
                <w:spacing w:val="-1"/>
                <w:kern w:val="2"/>
                <w:sz w:val="24"/>
                <w:szCs w:val="24"/>
                <w:highlight w:val="none"/>
              </w:rPr>
            </w:pPr>
            <w:r>
              <w:rPr>
                <w:rFonts w:hint="eastAsia" w:ascii="宋体" w:hAnsi="宋体" w:eastAsia="宋体" w:cs="宋体"/>
                <w:color w:val="auto"/>
                <w:spacing w:val="-1"/>
                <w:kern w:val="2"/>
                <w:sz w:val="24"/>
                <w:szCs w:val="24"/>
                <w:highlight w:val="none"/>
                <w:lang w:val="zh-CN"/>
              </w:rPr>
              <w:t>类似业绩</w:t>
            </w:r>
          </w:p>
        </w:tc>
        <w:tc>
          <w:tcPr>
            <w:tcW w:w="538" w:type="dxa"/>
            <w:tcBorders>
              <w:top w:val="single" w:color="auto" w:sz="4" w:space="0"/>
              <w:left w:val="single" w:color="auto" w:sz="4" w:space="0"/>
              <w:right w:val="single" w:color="auto" w:sz="4" w:space="0"/>
            </w:tcBorders>
            <w:vAlign w:val="center"/>
          </w:tcPr>
          <w:p w14:paraId="7C1DEA93">
            <w:pPr>
              <w:keepNext w:val="0"/>
              <w:keepLines w:val="0"/>
              <w:pageBreakBefore w:val="0"/>
              <w:widowControl/>
              <w:wordWrap/>
              <w:topLinePunct w:val="0"/>
              <w:autoSpaceDE/>
              <w:autoSpaceDN/>
              <w:bidi w:val="0"/>
              <w:adjustRightInd/>
              <w:snapToGrid/>
              <w:spacing w:after="0" w:line="240" w:lineRule="auto"/>
              <w:jc w:val="center"/>
              <w:textAlignment w:val="auto"/>
              <w:rPr>
                <w:rFonts w:hint="default"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18</w:t>
            </w:r>
          </w:p>
        </w:tc>
        <w:tc>
          <w:tcPr>
            <w:tcW w:w="7282" w:type="dxa"/>
            <w:tcBorders>
              <w:top w:val="single" w:color="auto" w:sz="4" w:space="0"/>
              <w:left w:val="single" w:color="auto" w:sz="4" w:space="0"/>
              <w:right w:val="single" w:color="auto" w:sz="4" w:space="0"/>
            </w:tcBorders>
            <w:vAlign w:val="center"/>
          </w:tcPr>
          <w:p w14:paraId="22BCF53A">
            <w:pPr>
              <w:keepNext w:val="0"/>
              <w:keepLines w:val="0"/>
              <w:pageBreakBefore w:val="0"/>
              <w:widowControl/>
              <w:wordWrap/>
              <w:topLinePunct w:val="0"/>
              <w:autoSpaceDE/>
              <w:autoSpaceDN/>
              <w:bidi w:val="0"/>
              <w:adjustRightInd/>
              <w:snapToGrid/>
              <w:spacing w:after="0" w:line="240" w:lineRule="auto"/>
              <w:jc w:val="left"/>
              <w:textAlignment w:val="auto"/>
              <w:rPr>
                <w:rFonts w:hint="eastAsia" w:ascii="宋体" w:hAnsi="宋体" w:eastAsia="宋体" w:cs="宋体"/>
                <w:color w:val="auto"/>
                <w:spacing w:val="-1"/>
                <w:kern w:val="2"/>
                <w:sz w:val="24"/>
                <w:szCs w:val="24"/>
                <w:highlight w:val="none"/>
                <w:lang w:val="zh-CN"/>
              </w:rPr>
            </w:pPr>
            <w:r>
              <w:rPr>
                <w:rFonts w:hint="eastAsia" w:ascii="宋体" w:hAnsi="宋体" w:eastAsia="宋体" w:cs="宋体"/>
                <w:color w:val="auto"/>
                <w:spacing w:val="-1"/>
                <w:kern w:val="2"/>
                <w:sz w:val="24"/>
                <w:szCs w:val="24"/>
                <w:highlight w:val="none"/>
                <w:lang w:val="zh-CN"/>
              </w:rPr>
              <w:t>供应商2022年</w:t>
            </w:r>
            <w:r>
              <w:rPr>
                <w:rFonts w:hint="eastAsia" w:ascii="宋体" w:hAnsi="宋体" w:cs="宋体"/>
                <w:color w:val="auto"/>
                <w:spacing w:val="-1"/>
                <w:kern w:val="2"/>
                <w:sz w:val="24"/>
                <w:szCs w:val="24"/>
                <w:highlight w:val="none"/>
                <w:lang w:val="en-US" w:eastAsia="zh-CN"/>
              </w:rPr>
              <w:t>11</w:t>
            </w:r>
            <w:r>
              <w:rPr>
                <w:rFonts w:hint="eastAsia" w:ascii="宋体" w:hAnsi="宋体" w:eastAsia="宋体" w:cs="宋体"/>
                <w:color w:val="auto"/>
                <w:spacing w:val="-1"/>
                <w:kern w:val="2"/>
                <w:sz w:val="24"/>
                <w:szCs w:val="24"/>
                <w:highlight w:val="none"/>
                <w:lang w:val="zh-CN"/>
              </w:rPr>
              <w:t>月1日至今承担过类似服务项目的，每提供1个得3分，最高得18分，提供合同或中标通知书扫描件。</w:t>
            </w:r>
            <w:r>
              <w:rPr>
                <w:rFonts w:hint="eastAsia" w:ascii="宋体" w:hAnsi="宋体" w:cs="宋体"/>
                <w:color w:val="auto"/>
                <w:spacing w:val="-1"/>
                <w:kern w:val="2"/>
                <w:sz w:val="24"/>
                <w:szCs w:val="24"/>
                <w:highlight w:val="none"/>
                <w:lang w:val="zh-CN"/>
              </w:rPr>
              <w:t>（</w:t>
            </w:r>
            <w:r>
              <w:rPr>
                <w:rFonts w:hint="eastAsia" w:ascii="宋体" w:hAnsi="宋体" w:cs="宋体"/>
                <w:color w:val="auto"/>
                <w:spacing w:val="-1"/>
                <w:kern w:val="2"/>
                <w:sz w:val="24"/>
                <w:szCs w:val="24"/>
                <w:highlight w:val="none"/>
                <w:lang w:val="en-US" w:eastAsia="zh-CN"/>
              </w:rPr>
              <w:t>同一客户不重复得分</w:t>
            </w:r>
            <w:r>
              <w:rPr>
                <w:rFonts w:hint="eastAsia" w:ascii="宋体" w:hAnsi="宋体" w:cs="宋体"/>
                <w:color w:val="auto"/>
                <w:spacing w:val="-1"/>
                <w:kern w:val="2"/>
                <w:sz w:val="24"/>
                <w:szCs w:val="24"/>
                <w:highlight w:val="none"/>
                <w:lang w:val="zh-CN"/>
              </w:rPr>
              <w:t>）</w:t>
            </w:r>
          </w:p>
        </w:tc>
      </w:tr>
      <w:tr w14:paraId="1446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blHeader/>
          <w:jc w:val="center"/>
        </w:trPr>
        <w:tc>
          <w:tcPr>
            <w:tcW w:w="812" w:type="dxa"/>
            <w:vMerge w:val="continue"/>
            <w:tcBorders>
              <w:left w:val="single" w:color="auto" w:sz="4" w:space="0"/>
              <w:right w:val="single" w:color="auto" w:sz="4" w:space="0"/>
            </w:tcBorders>
            <w:vAlign w:val="center"/>
          </w:tcPr>
          <w:p w14:paraId="5407F7E5">
            <w:pPr>
              <w:keepNext w:val="0"/>
              <w:keepLines w:val="0"/>
              <w:pageBreakBefore w:val="0"/>
              <w:widowControl/>
              <w:kinsoku w:val="0"/>
              <w:wordWrap/>
              <w:overflowPunct w:val="0"/>
              <w:topLinePunct w:val="0"/>
              <w:autoSpaceDE/>
              <w:autoSpaceDN/>
              <w:bidi w:val="0"/>
              <w:adjustRightInd/>
              <w:snapToGrid/>
              <w:spacing w:after="0" w:line="240" w:lineRule="auto"/>
              <w:ind w:left="103"/>
              <w:jc w:val="center"/>
              <w:textAlignment w:val="auto"/>
              <w:rPr>
                <w:rFonts w:hint="eastAsia" w:ascii="宋体" w:hAnsi="宋体" w:eastAsia="宋体" w:cs="宋体"/>
                <w:color w:val="auto"/>
                <w:kern w:val="2"/>
                <w:sz w:val="24"/>
                <w:szCs w:val="24"/>
                <w:highlight w:val="none"/>
              </w:rPr>
            </w:pPr>
          </w:p>
          <w:p w14:paraId="5FC0BEC9">
            <w:pPr>
              <w:keepNext w:val="0"/>
              <w:keepLines w:val="0"/>
              <w:pageBreakBefore w:val="0"/>
              <w:widowControl/>
              <w:kinsoku w:val="0"/>
              <w:wordWrap/>
              <w:overflowPunct w:val="0"/>
              <w:topLinePunct w:val="0"/>
              <w:autoSpaceDE/>
              <w:autoSpaceDN/>
              <w:bidi w:val="0"/>
              <w:adjustRightInd/>
              <w:snapToGrid/>
              <w:spacing w:after="0" w:line="240" w:lineRule="auto"/>
              <w:ind w:left="103"/>
              <w:jc w:val="center"/>
              <w:textAlignment w:val="auto"/>
              <w:rPr>
                <w:rFonts w:hint="eastAsia" w:ascii="宋体" w:hAnsi="宋体" w:eastAsia="宋体" w:cs="宋体"/>
                <w:color w:val="auto"/>
                <w:kern w:val="2"/>
                <w:sz w:val="24"/>
                <w:szCs w:val="24"/>
                <w:highlight w:val="none"/>
              </w:rPr>
            </w:pPr>
          </w:p>
        </w:tc>
        <w:tc>
          <w:tcPr>
            <w:tcW w:w="787" w:type="dxa"/>
            <w:tcBorders>
              <w:top w:val="single" w:color="auto" w:sz="4" w:space="0"/>
              <w:left w:val="single" w:color="auto" w:sz="4" w:space="0"/>
              <w:right w:val="single" w:color="auto" w:sz="4" w:space="0"/>
            </w:tcBorders>
            <w:vAlign w:val="center"/>
          </w:tcPr>
          <w:p w14:paraId="21D49F58">
            <w:pPr>
              <w:keepNext w:val="0"/>
              <w:keepLines w:val="0"/>
              <w:pageBreakBefore w:val="0"/>
              <w:widowControl/>
              <w:wordWrap/>
              <w:topLinePunct w:val="0"/>
              <w:autoSpaceDE/>
              <w:autoSpaceDN/>
              <w:bidi w:val="0"/>
              <w:adjustRightInd/>
              <w:snapToGrid/>
              <w:spacing w:after="0" w:line="240" w:lineRule="auto"/>
              <w:jc w:val="center"/>
              <w:textAlignment w:val="auto"/>
              <w:rPr>
                <w:rFonts w:hint="eastAsia" w:ascii="宋体" w:hAnsi="宋体" w:eastAsia="宋体" w:cs="宋体"/>
                <w:color w:val="auto"/>
                <w:spacing w:val="-1"/>
                <w:kern w:val="2"/>
                <w:sz w:val="24"/>
                <w:szCs w:val="24"/>
                <w:highlight w:val="none"/>
              </w:rPr>
            </w:pPr>
            <w:r>
              <w:rPr>
                <w:rFonts w:hint="eastAsia" w:ascii="宋体" w:hAnsi="宋体" w:eastAsia="宋体" w:cs="宋体"/>
                <w:color w:val="auto"/>
                <w:spacing w:val="-1"/>
                <w:kern w:val="2"/>
                <w:sz w:val="24"/>
                <w:szCs w:val="24"/>
                <w:highlight w:val="none"/>
              </w:rPr>
              <w:t>服务评价</w:t>
            </w:r>
          </w:p>
        </w:tc>
        <w:tc>
          <w:tcPr>
            <w:tcW w:w="538" w:type="dxa"/>
            <w:tcBorders>
              <w:top w:val="single" w:color="auto" w:sz="4" w:space="0"/>
              <w:left w:val="single" w:color="auto" w:sz="4" w:space="0"/>
              <w:right w:val="single" w:color="auto" w:sz="4" w:space="0"/>
            </w:tcBorders>
            <w:vAlign w:val="center"/>
          </w:tcPr>
          <w:p w14:paraId="64AAF557">
            <w:pPr>
              <w:keepNext w:val="0"/>
              <w:keepLines w:val="0"/>
              <w:pageBreakBefore w:val="0"/>
              <w:widowControl/>
              <w:wordWrap/>
              <w:topLinePunct w:val="0"/>
              <w:autoSpaceDE/>
              <w:autoSpaceDN/>
              <w:bidi w:val="0"/>
              <w:adjustRightInd/>
              <w:snapToGrid/>
              <w:spacing w:after="0" w:line="240" w:lineRule="auto"/>
              <w:jc w:val="center"/>
              <w:textAlignment w:val="auto"/>
              <w:rPr>
                <w:rFonts w:hint="eastAsia"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6</w:t>
            </w:r>
          </w:p>
        </w:tc>
        <w:tc>
          <w:tcPr>
            <w:tcW w:w="7282" w:type="dxa"/>
            <w:tcBorders>
              <w:top w:val="single" w:color="auto" w:sz="4" w:space="0"/>
              <w:left w:val="single" w:color="auto" w:sz="4" w:space="0"/>
              <w:right w:val="single" w:color="auto" w:sz="4" w:space="0"/>
            </w:tcBorders>
            <w:vAlign w:val="center"/>
          </w:tcPr>
          <w:p w14:paraId="0EA1544C">
            <w:pPr>
              <w:keepNext w:val="0"/>
              <w:keepLines w:val="0"/>
              <w:pageBreakBefore w:val="0"/>
              <w:widowControl/>
              <w:wordWrap/>
              <w:topLinePunct w:val="0"/>
              <w:autoSpaceDE/>
              <w:autoSpaceDN/>
              <w:bidi w:val="0"/>
              <w:adjustRightInd/>
              <w:snapToGrid/>
              <w:spacing w:after="0" w:line="240" w:lineRule="auto"/>
              <w:jc w:val="left"/>
              <w:textAlignment w:val="auto"/>
              <w:rPr>
                <w:rFonts w:hint="eastAsia" w:ascii="宋体" w:hAnsi="宋体" w:eastAsia="宋体" w:cs="宋体"/>
                <w:color w:val="auto"/>
                <w:spacing w:val="-1"/>
                <w:kern w:val="2"/>
                <w:sz w:val="24"/>
                <w:szCs w:val="24"/>
                <w:highlight w:val="none"/>
                <w:lang w:val="zh-CN"/>
              </w:rPr>
            </w:pPr>
            <w:r>
              <w:rPr>
                <w:rFonts w:hint="eastAsia" w:ascii="宋体" w:hAnsi="宋体" w:eastAsia="宋体" w:cs="宋体"/>
                <w:color w:val="auto"/>
                <w:spacing w:val="-1"/>
                <w:kern w:val="2"/>
                <w:sz w:val="24"/>
                <w:szCs w:val="24"/>
                <w:highlight w:val="none"/>
                <w:lang w:val="zh-CN"/>
              </w:rPr>
              <w:t>供应商提供评价为良好（满意、优秀等正向评价）的客户评价单，每提供1份得1分，最高得分6分，未提供或提供的内容有误不得分。</w:t>
            </w:r>
            <w:r>
              <w:rPr>
                <w:rFonts w:hint="eastAsia" w:ascii="宋体" w:hAnsi="宋体" w:cs="宋体"/>
                <w:color w:val="auto"/>
                <w:spacing w:val="-1"/>
                <w:kern w:val="2"/>
                <w:sz w:val="24"/>
                <w:szCs w:val="24"/>
                <w:highlight w:val="none"/>
                <w:lang w:val="zh-CN"/>
              </w:rPr>
              <w:t>（</w:t>
            </w:r>
            <w:r>
              <w:rPr>
                <w:rFonts w:hint="eastAsia" w:ascii="宋体" w:hAnsi="宋体" w:cs="宋体"/>
                <w:color w:val="auto"/>
                <w:spacing w:val="-1"/>
                <w:kern w:val="2"/>
                <w:sz w:val="24"/>
                <w:szCs w:val="24"/>
                <w:highlight w:val="none"/>
                <w:lang w:val="en-US" w:eastAsia="zh-CN"/>
              </w:rPr>
              <w:t>同一客户不重复得分</w:t>
            </w:r>
            <w:r>
              <w:rPr>
                <w:rFonts w:hint="eastAsia" w:ascii="宋体" w:hAnsi="宋体" w:cs="宋体"/>
                <w:color w:val="auto"/>
                <w:spacing w:val="-1"/>
                <w:kern w:val="2"/>
                <w:sz w:val="24"/>
                <w:szCs w:val="24"/>
                <w:highlight w:val="none"/>
                <w:lang w:val="zh-CN"/>
              </w:rPr>
              <w:t>）</w:t>
            </w:r>
          </w:p>
        </w:tc>
      </w:tr>
      <w:tr w14:paraId="6455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2" w:type="dxa"/>
            <w:vMerge w:val="continue"/>
            <w:tcBorders>
              <w:top w:val="single" w:color="auto" w:sz="4" w:space="0"/>
              <w:left w:val="single" w:color="auto" w:sz="4" w:space="0"/>
              <w:bottom w:val="single" w:color="auto" w:sz="4" w:space="0"/>
              <w:right w:val="single" w:color="auto" w:sz="4" w:space="0"/>
            </w:tcBorders>
            <w:vAlign w:val="center"/>
          </w:tcPr>
          <w:p w14:paraId="08EFF1D1">
            <w:pPr>
              <w:keepNext w:val="0"/>
              <w:keepLines w:val="0"/>
              <w:pageBreakBefore w:val="0"/>
              <w:widowControl/>
              <w:wordWrap/>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24"/>
                <w:szCs w:val="24"/>
                <w:highlight w:val="none"/>
              </w:rPr>
            </w:pPr>
          </w:p>
        </w:tc>
        <w:tc>
          <w:tcPr>
            <w:tcW w:w="787" w:type="dxa"/>
            <w:tcBorders>
              <w:top w:val="single" w:color="auto" w:sz="4" w:space="0"/>
              <w:left w:val="single" w:color="auto" w:sz="4" w:space="0"/>
              <w:bottom w:val="single" w:color="auto" w:sz="4" w:space="0"/>
              <w:right w:val="single" w:color="auto" w:sz="4" w:space="0"/>
            </w:tcBorders>
            <w:vAlign w:val="center"/>
          </w:tcPr>
          <w:p w14:paraId="0CCDFF15">
            <w:pPr>
              <w:keepNext w:val="0"/>
              <w:keepLines w:val="0"/>
              <w:pageBreakBefore w:val="0"/>
              <w:widowControl/>
              <w:wordWrap/>
              <w:topLinePunct w:val="0"/>
              <w:autoSpaceDE/>
              <w:autoSpaceDN/>
              <w:bidi w:val="0"/>
              <w:adjustRightInd/>
              <w:snapToGrid/>
              <w:spacing w:after="0" w:line="240" w:lineRule="auto"/>
              <w:jc w:val="center"/>
              <w:textAlignment w:val="auto"/>
              <w:rPr>
                <w:rFonts w:hint="eastAsia" w:ascii="宋体" w:hAnsi="宋体" w:eastAsia="宋体" w:cs="宋体"/>
                <w:color w:val="auto"/>
                <w:spacing w:val="-1"/>
                <w:kern w:val="2"/>
                <w:sz w:val="24"/>
                <w:szCs w:val="24"/>
                <w:highlight w:val="none"/>
              </w:rPr>
            </w:pPr>
            <w:r>
              <w:rPr>
                <w:rFonts w:hint="eastAsia" w:ascii="宋体" w:hAnsi="宋体" w:eastAsia="宋体" w:cs="宋体"/>
                <w:color w:val="auto"/>
                <w:spacing w:val="-1"/>
                <w:kern w:val="2"/>
                <w:sz w:val="24"/>
                <w:szCs w:val="24"/>
                <w:highlight w:val="none"/>
              </w:rPr>
              <w:t>专业法律顾问团队</w:t>
            </w:r>
          </w:p>
        </w:tc>
        <w:tc>
          <w:tcPr>
            <w:tcW w:w="538" w:type="dxa"/>
            <w:tcBorders>
              <w:top w:val="single" w:color="auto" w:sz="4" w:space="0"/>
              <w:left w:val="single" w:color="auto" w:sz="4" w:space="0"/>
              <w:bottom w:val="single" w:color="auto" w:sz="4" w:space="0"/>
              <w:right w:val="single" w:color="auto" w:sz="4" w:space="0"/>
            </w:tcBorders>
            <w:vAlign w:val="center"/>
          </w:tcPr>
          <w:p w14:paraId="55BF6E51">
            <w:pPr>
              <w:keepNext w:val="0"/>
              <w:keepLines w:val="0"/>
              <w:pageBreakBefore w:val="0"/>
              <w:widowControl/>
              <w:wordWrap/>
              <w:topLinePunct w:val="0"/>
              <w:autoSpaceDE/>
              <w:autoSpaceDN/>
              <w:bidi w:val="0"/>
              <w:adjustRightInd/>
              <w:snapToGrid/>
              <w:spacing w:after="0" w:line="240" w:lineRule="auto"/>
              <w:jc w:val="center"/>
              <w:textAlignment w:val="auto"/>
              <w:rPr>
                <w:rFonts w:hint="eastAsia"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8</w:t>
            </w:r>
          </w:p>
        </w:tc>
        <w:tc>
          <w:tcPr>
            <w:tcW w:w="7282" w:type="dxa"/>
            <w:tcBorders>
              <w:top w:val="single" w:color="auto" w:sz="4" w:space="0"/>
              <w:left w:val="single" w:color="auto" w:sz="4" w:space="0"/>
              <w:bottom w:val="single" w:color="auto" w:sz="4" w:space="0"/>
              <w:right w:val="single" w:color="auto" w:sz="4" w:space="0"/>
            </w:tcBorders>
            <w:vAlign w:val="center"/>
          </w:tcPr>
          <w:p w14:paraId="3DCE9F18">
            <w:pPr>
              <w:keepNext w:val="0"/>
              <w:keepLines w:val="0"/>
              <w:pageBreakBefore w:val="0"/>
              <w:widowControl/>
              <w:wordWrap/>
              <w:topLinePunct w:val="0"/>
              <w:autoSpaceDE/>
              <w:autoSpaceDN/>
              <w:bidi w:val="0"/>
              <w:adjustRightInd/>
              <w:snapToGrid/>
              <w:spacing w:after="0" w:line="240" w:lineRule="auto"/>
              <w:jc w:val="left"/>
              <w:textAlignment w:val="auto"/>
              <w:rPr>
                <w:rFonts w:hint="eastAsia" w:ascii="宋体" w:hAnsi="宋体" w:eastAsia="宋体" w:cs="宋体"/>
                <w:color w:val="auto"/>
                <w:spacing w:val="-1"/>
                <w:kern w:val="2"/>
                <w:sz w:val="24"/>
                <w:szCs w:val="24"/>
                <w:highlight w:val="none"/>
                <w:lang w:val="zh-CN"/>
              </w:rPr>
            </w:pPr>
            <w:r>
              <w:rPr>
                <w:rFonts w:hint="eastAsia" w:ascii="宋体" w:hAnsi="宋体" w:eastAsia="宋体" w:cs="宋体"/>
                <w:color w:val="auto"/>
                <w:spacing w:val="-1"/>
                <w:kern w:val="2"/>
                <w:sz w:val="24"/>
                <w:szCs w:val="24"/>
                <w:highlight w:val="none"/>
                <w:lang w:val="zh-CN"/>
              </w:rPr>
              <w:t>供应商能对本项目提供法律咨询：</w:t>
            </w:r>
          </w:p>
          <w:p w14:paraId="624D42CC">
            <w:pPr>
              <w:keepNext w:val="0"/>
              <w:keepLines w:val="0"/>
              <w:pageBreakBefore w:val="0"/>
              <w:widowControl/>
              <w:wordWrap/>
              <w:topLinePunct w:val="0"/>
              <w:autoSpaceDE/>
              <w:autoSpaceDN/>
              <w:bidi w:val="0"/>
              <w:adjustRightInd/>
              <w:snapToGrid/>
              <w:spacing w:after="0" w:line="240" w:lineRule="auto"/>
              <w:jc w:val="left"/>
              <w:textAlignment w:val="auto"/>
              <w:rPr>
                <w:rFonts w:hint="eastAsia" w:ascii="宋体" w:hAnsi="宋体" w:eastAsia="宋体" w:cs="宋体"/>
                <w:color w:val="auto"/>
                <w:spacing w:val="-1"/>
                <w:kern w:val="2"/>
                <w:sz w:val="24"/>
                <w:szCs w:val="24"/>
                <w:highlight w:val="none"/>
                <w:lang w:val="zh-CN"/>
              </w:rPr>
            </w:pPr>
            <w:r>
              <w:rPr>
                <w:rFonts w:hint="eastAsia" w:ascii="宋体" w:hAnsi="宋体" w:eastAsia="宋体" w:cs="宋体"/>
                <w:color w:val="auto"/>
                <w:spacing w:val="-1"/>
                <w:kern w:val="2"/>
                <w:sz w:val="24"/>
                <w:szCs w:val="24"/>
                <w:highlight w:val="none"/>
                <w:lang w:val="zh-CN"/>
              </w:rPr>
              <w:t>①有合作律师事务所的得4分；</w:t>
            </w:r>
          </w:p>
          <w:p w14:paraId="4FD150C4">
            <w:pPr>
              <w:keepNext w:val="0"/>
              <w:keepLines w:val="0"/>
              <w:pageBreakBefore w:val="0"/>
              <w:widowControl/>
              <w:wordWrap/>
              <w:topLinePunct w:val="0"/>
              <w:autoSpaceDE/>
              <w:autoSpaceDN/>
              <w:bidi w:val="0"/>
              <w:adjustRightInd/>
              <w:snapToGrid/>
              <w:spacing w:after="0" w:line="240" w:lineRule="auto"/>
              <w:jc w:val="left"/>
              <w:textAlignment w:val="auto"/>
              <w:rPr>
                <w:rFonts w:hint="eastAsia" w:ascii="宋体" w:hAnsi="宋体" w:eastAsia="宋体" w:cs="宋体"/>
                <w:color w:val="auto"/>
                <w:spacing w:val="-1"/>
                <w:kern w:val="2"/>
                <w:sz w:val="24"/>
                <w:szCs w:val="24"/>
                <w:highlight w:val="none"/>
                <w:lang w:val="zh-CN"/>
              </w:rPr>
            </w:pPr>
            <w:r>
              <w:rPr>
                <w:rFonts w:hint="eastAsia" w:ascii="宋体" w:hAnsi="宋体" w:eastAsia="宋体" w:cs="宋体"/>
                <w:color w:val="auto"/>
                <w:spacing w:val="-1"/>
                <w:kern w:val="2"/>
                <w:sz w:val="24"/>
                <w:szCs w:val="24"/>
                <w:highlight w:val="none"/>
                <w:lang w:val="zh-CN"/>
              </w:rPr>
              <w:t>②自有法务工作人员的得4分；</w:t>
            </w:r>
          </w:p>
          <w:p w14:paraId="44B9E3E4">
            <w:pPr>
              <w:keepNext w:val="0"/>
              <w:keepLines w:val="0"/>
              <w:pageBreakBefore w:val="0"/>
              <w:widowControl/>
              <w:wordWrap/>
              <w:topLinePunct w:val="0"/>
              <w:autoSpaceDE/>
              <w:autoSpaceDN/>
              <w:bidi w:val="0"/>
              <w:adjustRightInd/>
              <w:snapToGrid/>
              <w:spacing w:after="0" w:line="240" w:lineRule="auto"/>
              <w:jc w:val="left"/>
              <w:textAlignment w:val="auto"/>
              <w:rPr>
                <w:rFonts w:hint="eastAsia" w:ascii="宋体" w:hAnsi="宋体" w:eastAsia="宋体" w:cs="宋体"/>
                <w:color w:val="auto"/>
                <w:spacing w:val="-1"/>
                <w:kern w:val="2"/>
                <w:sz w:val="24"/>
                <w:szCs w:val="24"/>
                <w:highlight w:val="none"/>
                <w:lang w:val="zh-CN"/>
              </w:rPr>
            </w:pPr>
            <w:r>
              <w:rPr>
                <w:rFonts w:hint="eastAsia" w:ascii="宋体" w:hAnsi="宋体" w:eastAsia="宋体" w:cs="宋体"/>
                <w:color w:val="auto"/>
                <w:spacing w:val="-1"/>
                <w:kern w:val="2"/>
                <w:sz w:val="24"/>
                <w:szCs w:val="24"/>
                <w:highlight w:val="none"/>
                <w:lang w:val="zh-CN"/>
              </w:rPr>
              <w:t>③上述都有的最高得8分，未提供不得分。</w:t>
            </w:r>
          </w:p>
          <w:p w14:paraId="680EE49D">
            <w:pPr>
              <w:keepNext w:val="0"/>
              <w:keepLines w:val="0"/>
              <w:pageBreakBefore w:val="0"/>
              <w:widowControl/>
              <w:wordWrap/>
              <w:topLinePunct w:val="0"/>
              <w:autoSpaceDE/>
              <w:autoSpaceDN/>
              <w:bidi w:val="0"/>
              <w:adjustRightInd/>
              <w:snapToGrid/>
              <w:spacing w:after="0" w:line="240" w:lineRule="auto"/>
              <w:jc w:val="left"/>
              <w:textAlignment w:val="auto"/>
              <w:rPr>
                <w:rFonts w:hint="eastAsia" w:ascii="宋体" w:hAnsi="宋体" w:eastAsia="宋体" w:cs="宋体"/>
                <w:color w:val="auto"/>
                <w:spacing w:val="-1"/>
                <w:kern w:val="2"/>
                <w:sz w:val="24"/>
                <w:szCs w:val="24"/>
                <w:highlight w:val="none"/>
                <w:lang w:val="zh-CN"/>
              </w:rPr>
            </w:pPr>
            <w:r>
              <w:rPr>
                <w:rFonts w:hint="eastAsia" w:ascii="宋体" w:hAnsi="宋体" w:eastAsia="宋体" w:cs="宋体"/>
                <w:color w:val="auto"/>
                <w:spacing w:val="-1"/>
                <w:kern w:val="2"/>
                <w:sz w:val="24"/>
                <w:szCs w:val="24"/>
                <w:highlight w:val="none"/>
                <w:lang w:val="zh-CN"/>
              </w:rPr>
              <w:t>注:合作律师事务所须提供事务所相关许可证或资质证等有效证明文件和律师事务所合作协议书复印件，自有法务工作人员须提供身份证明、劳动合同、学历证明、法律职业资格证书等资料并加盖供应商公章。</w:t>
            </w:r>
          </w:p>
        </w:tc>
      </w:tr>
      <w:tr w14:paraId="573E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2" w:type="dxa"/>
            <w:vMerge w:val="continue"/>
            <w:tcBorders>
              <w:top w:val="single" w:color="auto" w:sz="4" w:space="0"/>
              <w:left w:val="single" w:color="auto" w:sz="4" w:space="0"/>
              <w:bottom w:val="single" w:color="auto" w:sz="4" w:space="0"/>
              <w:right w:val="single" w:color="auto" w:sz="4" w:space="0"/>
            </w:tcBorders>
            <w:vAlign w:val="center"/>
          </w:tcPr>
          <w:p w14:paraId="01DCB1DA">
            <w:pPr>
              <w:keepNext w:val="0"/>
              <w:keepLines w:val="0"/>
              <w:pageBreakBefore w:val="0"/>
              <w:widowControl/>
              <w:wordWrap/>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24"/>
                <w:szCs w:val="24"/>
                <w:highlight w:val="none"/>
              </w:rPr>
            </w:pPr>
          </w:p>
        </w:tc>
        <w:tc>
          <w:tcPr>
            <w:tcW w:w="787" w:type="dxa"/>
            <w:tcBorders>
              <w:top w:val="single" w:color="auto" w:sz="4" w:space="0"/>
              <w:left w:val="single" w:color="auto" w:sz="4" w:space="0"/>
              <w:bottom w:val="single" w:color="auto" w:sz="4" w:space="0"/>
              <w:right w:val="single" w:color="auto" w:sz="4" w:space="0"/>
            </w:tcBorders>
            <w:vAlign w:val="center"/>
          </w:tcPr>
          <w:p w14:paraId="0A9F9738">
            <w:pPr>
              <w:keepNext w:val="0"/>
              <w:keepLines w:val="0"/>
              <w:pageBreakBefore w:val="0"/>
              <w:widowControl/>
              <w:wordWrap/>
              <w:topLinePunct w:val="0"/>
              <w:autoSpaceDE/>
              <w:autoSpaceDN/>
              <w:bidi w:val="0"/>
              <w:adjustRightInd/>
              <w:snapToGrid/>
              <w:spacing w:after="0" w:line="240" w:lineRule="auto"/>
              <w:jc w:val="center"/>
              <w:textAlignment w:val="auto"/>
              <w:rPr>
                <w:rFonts w:hint="default" w:ascii="宋体" w:hAnsi="宋体" w:eastAsia="宋体" w:cs="宋体"/>
                <w:color w:val="auto"/>
                <w:spacing w:val="-1"/>
                <w:kern w:val="2"/>
                <w:sz w:val="24"/>
                <w:szCs w:val="24"/>
                <w:highlight w:val="none"/>
                <w:lang w:val="en-US" w:eastAsia="zh-CN"/>
              </w:rPr>
            </w:pPr>
            <w:r>
              <w:rPr>
                <w:rFonts w:hint="default" w:ascii="宋体" w:hAnsi="宋体" w:eastAsia="宋体" w:cs="宋体"/>
                <w:color w:val="auto"/>
                <w:spacing w:val="-1"/>
                <w:kern w:val="2"/>
                <w:sz w:val="24"/>
                <w:szCs w:val="24"/>
                <w:highlight w:val="none"/>
                <w:lang w:val="en-US" w:eastAsia="zh-CN"/>
              </w:rPr>
              <w:t>认证证书</w:t>
            </w:r>
          </w:p>
        </w:tc>
        <w:tc>
          <w:tcPr>
            <w:tcW w:w="538" w:type="dxa"/>
            <w:tcBorders>
              <w:top w:val="single" w:color="auto" w:sz="4" w:space="0"/>
              <w:left w:val="single" w:color="auto" w:sz="4" w:space="0"/>
              <w:bottom w:val="single" w:color="auto" w:sz="4" w:space="0"/>
              <w:right w:val="single" w:color="auto" w:sz="4" w:space="0"/>
            </w:tcBorders>
            <w:vAlign w:val="center"/>
          </w:tcPr>
          <w:p w14:paraId="2778FA77">
            <w:pPr>
              <w:keepNext w:val="0"/>
              <w:keepLines w:val="0"/>
              <w:pageBreakBefore w:val="0"/>
              <w:widowControl/>
              <w:wordWrap/>
              <w:topLinePunct w:val="0"/>
              <w:autoSpaceDE/>
              <w:autoSpaceDN/>
              <w:bidi w:val="0"/>
              <w:adjustRightInd/>
              <w:snapToGrid/>
              <w:spacing w:after="0" w:line="240" w:lineRule="auto"/>
              <w:jc w:val="center"/>
              <w:textAlignment w:val="auto"/>
              <w:rPr>
                <w:rFonts w:hint="eastAsia"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6</w:t>
            </w:r>
          </w:p>
        </w:tc>
        <w:tc>
          <w:tcPr>
            <w:tcW w:w="7282" w:type="dxa"/>
            <w:tcBorders>
              <w:top w:val="single" w:color="auto" w:sz="4" w:space="0"/>
              <w:left w:val="single" w:color="auto" w:sz="4" w:space="0"/>
              <w:bottom w:val="single" w:color="auto" w:sz="4" w:space="0"/>
              <w:right w:val="single" w:color="auto" w:sz="4" w:space="0"/>
            </w:tcBorders>
            <w:vAlign w:val="center"/>
          </w:tcPr>
          <w:p w14:paraId="7B354D18">
            <w:pPr>
              <w:keepNext w:val="0"/>
              <w:keepLines w:val="0"/>
              <w:pageBreakBefore w:val="0"/>
              <w:widowControl/>
              <w:wordWrap/>
              <w:topLinePunct w:val="0"/>
              <w:autoSpaceDE/>
              <w:autoSpaceDN/>
              <w:bidi w:val="0"/>
              <w:adjustRightInd/>
              <w:snapToGrid/>
              <w:spacing w:after="0" w:line="240" w:lineRule="auto"/>
              <w:jc w:val="left"/>
              <w:textAlignment w:val="auto"/>
              <w:rPr>
                <w:rFonts w:hint="eastAsia" w:ascii="宋体" w:hAnsi="宋体" w:eastAsia="宋体" w:cs="宋体"/>
                <w:color w:val="auto"/>
                <w:spacing w:val="-1"/>
                <w:kern w:val="2"/>
                <w:sz w:val="24"/>
                <w:szCs w:val="24"/>
                <w:highlight w:val="none"/>
                <w:lang w:val="zh-CN"/>
              </w:rPr>
            </w:pPr>
            <w:r>
              <w:rPr>
                <w:rFonts w:hint="eastAsia" w:ascii="宋体" w:hAnsi="宋体" w:eastAsia="宋体" w:cs="宋体"/>
                <w:color w:val="auto"/>
                <w:spacing w:val="-1"/>
                <w:kern w:val="2"/>
                <w:sz w:val="24"/>
                <w:szCs w:val="24"/>
                <w:highlight w:val="none"/>
                <w:lang w:val="zh-CN"/>
              </w:rPr>
              <w:t>供应商具有有效的：质量管理体系认证证书、环境管理体系认证证书、职业健康安全管理体系认证证书，提供证书扫描件，每项2分，最高6分；</w:t>
            </w:r>
          </w:p>
          <w:p w14:paraId="69087E6C">
            <w:pPr>
              <w:keepNext w:val="0"/>
              <w:keepLines w:val="0"/>
              <w:pageBreakBefore w:val="0"/>
              <w:widowControl/>
              <w:wordWrap/>
              <w:topLinePunct w:val="0"/>
              <w:autoSpaceDE/>
              <w:autoSpaceDN/>
              <w:bidi w:val="0"/>
              <w:adjustRightInd/>
              <w:snapToGrid/>
              <w:spacing w:after="0" w:line="240" w:lineRule="auto"/>
              <w:jc w:val="left"/>
              <w:textAlignment w:val="auto"/>
              <w:rPr>
                <w:rFonts w:hint="eastAsia" w:ascii="宋体" w:hAnsi="宋体" w:eastAsia="宋体" w:cs="宋体"/>
                <w:color w:val="auto"/>
                <w:spacing w:val="-1"/>
                <w:kern w:val="2"/>
                <w:sz w:val="24"/>
                <w:szCs w:val="24"/>
                <w:highlight w:val="none"/>
                <w:lang w:val="zh-CN"/>
              </w:rPr>
            </w:pPr>
            <w:r>
              <w:rPr>
                <w:rFonts w:hint="eastAsia" w:ascii="宋体" w:hAnsi="宋体" w:eastAsia="宋体" w:cs="宋体"/>
                <w:color w:val="auto"/>
                <w:spacing w:val="-1"/>
                <w:kern w:val="2"/>
                <w:sz w:val="24"/>
                <w:szCs w:val="24"/>
                <w:highlight w:val="none"/>
                <w:lang w:val="zh-CN"/>
              </w:rPr>
              <w:t>注:提供①上述证书加盖公章的复印件，②在中国国家认证认可监督管理委员会“全国认证认可信息公共服务平台”（www.cnca.gov.cn）的认证系统查询结果截图，材料不全、证书无效或未提供的不得分。</w:t>
            </w:r>
          </w:p>
        </w:tc>
      </w:tr>
      <w:tr w14:paraId="27BB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2" w:type="dxa"/>
            <w:vMerge w:val="restart"/>
            <w:tcBorders>
              <w:top w:val="single" w:color="auto" w:sz="4" w:space="0"/>
              <w:left w:val="single" w:color="auto" w:sz="4" w:space="0"/>
              <w:right w:val="single" w:color="auto" w:sz="4" w:space="0"/>
            </w:tcBorders>
            <w:vAlign w:val="center"/>
          </w:tcPr>
          <w:p w14:paraId="09BC8C36">
            <w:pPr>
              <w:keepNext w:val="0"/>
              <w:keepLines w:val="0"/>
              <w:pageBreakBefore w:val="0"/>
              <w:widowControl/>
              <w:wordWrap/>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技术部分</w:t>
            </w:r>
            <w:r>
              <w:rPr>
                <w:rFonts w:hint="eastAsia" w:ascii="宋体" w:hAnsi="宋体" w:eastAsia="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52</w:t>
            </w:r>
            <w:r>
              <w:rPr>
                <w:rFonts w:hint="eastAsia" w:ascii="宋体" w:hAnsi="宋体" w:eastAsia="宋体" w:cs="宋体"/>
                <w:color w:val="auto"/>
                <w:kern w:val="2"/>
                <w:sz w:val="24"/>
                <w:szCs w:val="24"/>
                <w:highlight w:val="none"/>
              </w:rPr>
              <w:t>分</w:t>
            </w:r>
            <w:r>
              <w:rPr>
                <w:rFonts w:hint="eastAsia" w:ascii="宋体" w:hAnsi="宋体" w:eastAsia="宋体" w:cs="宋体"/>
                <w:color w:val="auto"/>
                <w:kern w:val="2"/>
                <w:sz w:val="24"/>
                <w:szCs w:val="24"/>
                <w:highlight w:val="none"/>
                <w:lang w:eastAsia="zh-CN"/>
              </w:rPr>
              <w:t>）</w:t>
            </w:r>
          </w:p>
        </w:tc>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14:paraId="215BA572">
            <w:pPr>
              <w:keepNext w:val="0"/>
              <w:keepLines w:val="0"/>
              <w:pageBreakBefore w:val="0"/>
              <w:widowControl/>
              <w:wordWrap/>
              <w:topLinePunct w:val="0"/>
              <w:autoSpaceDE/>
              <w:autoSpaceDN/>
              <w:bidi w:val="0"/>
              <w:adjustRightInd/>
              <w:snapToGrid/>
              <w:spacing w:after="0" w:line="240" w:lineRule="auto"/>
              <w:jc w:val="center"/>
              <w:textAlignment w:val="auto"/>
              <w:rPr>
                <w:rFonts w:hint="eastAsia" w:ascii="宋体" w:hAnsi="宋体" w:eastAsia="宋体" w:cs="宋体"/>
                <w:color w:val="auto"/>
                <w:spacing w:val="-1"/>
                <w:kern w:val="2"/>
                <w:sz w:val="24"/>
                <w:szCs w:val="24"/>
                <w:highlight w:val="none"/>
                <w:lang w:val="zh-CN" w:eastAsia="zh-CN"/>
              </w:rPr>
            </w:pPr>
            <w:r>
              <w:rPr>
                <w:rFonts w:hint="eastAsia" w:ascii="宋体" w:hAnsi="宋体" w:eastAsia="宋体" w:cs="宋体"/>
                <w:color w:val="auto"/>
                <w:spacing w:val="-1"/>
                <w:kern w:val="2"/>
                <w:sz w:val="24"/>
                <w:szCs w:val="24"/>
                <w:highlight w:val="none"/>
                <w:lang w:val="en-US" w:eastAsia="zh-CN"/>
              </w:rPr>
              <w:t>工作重点、难点分析及解决对策情况</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3E6D83C">
            <w:pPr>
              <w:keepNext w:val="0"/>
              <w:keepLines w:val="0"/>
              <w:pageBreakBefore w:val="0"/>
              <w:widowControl/>
              <w:wordWrap/>
              <w:topLinePunct w:val="0"/>
              <w:autoSpaceDE/>
              <w:autoSpaceDN/>
              <w:bidi w:val="0"/>
              <w:adjustRightInd/>
              <w:snapToGrid/>
              <w:spacing w:after="0" w:line="240" w:lineRule="auto"/>
              <w:jc w:val="center"/>
              <w:textAlignment w:val="auto"/>
              <w:rPr>
                <w:rFonts w:hint="default" w:ascii="宋体" w:hAnsi="宋体" w:eastAsia="宋体" w:cs="宋体"/>
                <w:color w:val="auto"/>
                <w:spacing w:val="-1"/>
                <w:kern w:val="2"/>
                <w:sz w:val="24"/>
                <w:szCs w:val="24"/>
                <w:highlight w:val="none"/>
                <w:lang w:val="en-US" w:eastAsia="zh-CN"/>
              </w:rPr>
            </w:pPr>
            <w:r>
              <w:rPr>
                <w:rFonts w:hint="default" w:ascii="宋体" w:hAnsi="宋体" w:eastAsia="宋体" w:cs="宋体"/>
                <w:color w:val="auto"/>
                <w:spacing w:val="-1"/>
                <w:kern w:val="2"/>
                <w:sz w:val="24"/>
                <w:szCs w:val="24"/>
                <w:highlight w:val="none"/>
                <w:lang w:val="en-US" w:eastAsia="zh-CN"/>
              </w:rPr>
              <w:t>9</w:t>
            </w:r>
          </w:p>
        </w:tc>
        <w:tc>
          <w:tcPr>
            <w:tcW w:w="7282" w:type="dxa"/>
            <w:tcBorders>
              <w:top w:val="single" w:color="auto" w:sz="4" w:space="0"/>
              <w:left w:val="single" w:color="auto" w:sz="4" w:space="0"/>
              <w:bottom w:val="single" w:color="auto" w:sz="4" w:space="0"/>
              <w:right w:val="single" w:color="auto" w:sz="4" w:space="0"/>
            </w:tcBorders>
            <w:shd w:val="clear" w:color="auto" w:fill="auto"/>
            <w:vAlign w:val="center"/>
          </w:tcPr>
          <w:p w14:paraId="0E673053">
            <w:pPr>
              <w:keepNext w:val="0"/>
              <w:keepLines w:val="0"/>
              <w:pageBreakBefore w:val="0"/>
              <w:widowControl/>
              <w:wordWrap/>
              <w:topLinePunct w:val="0"/>
              <w:autoSpaceDE/>
              <w:autoSpaceDN/>
              <w:bidi w:val="0"/>
              <w:adjustRightInd/>
              <w:snapToGrid/>
              <w:spacing w:after="0" w:line="240" w:lineRule="auto"/>
              <w:jc w:val="left"/>
              <w:textAlignment w:val="auto"/>
              <w:rPr>
                <w:rFonts w:hint="default"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1.评审内容：供应商依据本项目服务过程中可能出现的重点、难点的问题进行分析，并制定具有针对性解决方案，根据该内容进行评分，最高得9分。</w:t>
            </w:r>
          </w:p>
          <w:p w14:paraId="6F24EF33">
            <w:pPr>
              <w:keepNext w:val="0"/>
              <w:keepLines w:val="0"/>
              <w:pageBreakBefore w:val="0"/>
              <w:widowControl/>
              <w:wordWrap/>
              <w:topLinePunct w:val="0"/>
              <w:autoSpaceDE/>
              <w:autoSpaceDN/>
              <w:bidi w:val="0"/>
              <w:adjustRightInd/>
              <w:snapToGrid/>
              <w:spacing w:after="0" w:line="240" w:lineRule="auto"/>
              <w:jc w:val="left"/>
              <w:textAlignment w:val="auto"/>
              <w:rPr>
                <w:rFonts w:hint="default"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2.评审标准</w:t>
            </w:r>
          </w:p>
          <w:p w14:paraId="4CD0C4F7">
            <w:pPr>
              <w:keepNext w:val="0"/>
              <w:keepLines w:val="0"/>
              <w:pageBreakBefore w:val="0"/>
              <w:widowControl/>
              <w:wordWrap/>
              <w:topLinePunct w:val="0"/>
              <w:autoSpaceDE/>
              <w:autoSpaceDN/>
              <w:bidi w:val="0"/>
              <w:adjustRightInd/>
              <w:snapToGrid/>
              <w:spacing w:after="0" w:line="240" w:lineRule="auto"/>
              <w:jc w:val="left"/>
              <w:textAlignment w:val="auto"/>
              <w:rPr>
                <w:rFonts w:hint="default"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①分析内容完整、详细、合理，解决方案针对性强、实施性高得9分；</w:t>
            </w:r>
          </w:p>
          <w:p w14:paraId="480E68FB">
            <w:pPr>
              <w:keepNext w:val="0"/>
              <w:keepLines w:val="0"/>
              <w:pageBreakBefore w:val="0"/>
              <w:widowControl/>
              <w:wordWrap/>
              <w:topLinePunct w:val="0"/>
              <w:autoSpaceDE/>
              <w:autoSpaceDN/>
              <w:bidi w:val="0"/>
              <w:adjustRightInd/>
              <w:snapToGrid/>
              <w:spacing w:after="0" w:line="240" w:lineRule="auto"/>
              <w:jc w:val="left"/>
              <w:textAlignment w:val="auto"/>
              <w:rPr>
                <w:rFonts w:hint="default"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②分析内容基本完整、基本可行，解决方案有一定的针对性和实施性得6分；</w:t>
            </w:r>
          </w:p>
          <w:p w14:paraId="0056BED6">
            <w:pPr>
              <w:keepNext w:val="0"/>
              <w:keepLines w:val="0"/>
              <w:pageBreakBefore w:val="0"/>
              <w:widowControl/>
              <w:wordWrap/>
              <w:topLinePunct w:val="0"/>
              <w:autoSpaceDE/>
              <w:autoSpaceDN/>
              <w:bidi w:val="0"/>
              <w:adjustRightInd/>
              <w:snapToGrid/>
              <w:spacing w:after="0" w:line="240" w:lineRule="auto"/>
              <w:jc w:val="left"/>
              <w:textAlignment w:val="auto"/>
              <w:rPr>
                <w:rFonts w:hint="default"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③内容、解决方案不严谨、缺少针对性得3分；</w:t>
            </w:r>
          </w:p>
          <w:p w14:paraId="58B155AE">
            <w:pPr>
              <w:keepNext w:val="0"/>
              <w:keepLines w:val="0"/>
              <w:pageBreakBefore w:val="0"/>
              <w:widowControl/>
              <w:wordWrap/>
              <w:topLinePunct w:val="0"/>
              <w:autoSpaceDE/>
              <w:autoSpaceDN/>
              <w:bidi w:val="0"/>
              <w:adjustRightInd/>
              <w:snapToGrid/>
              <w:spacing w:after="0" w:line="240" w:lineRule="auto"/>
              <w:jc w:val="left"/>
              <w:textAlignment w:val="auto"/>
              <w:rPr>
                <w:rFonts w:hint="eastAsia" w:ascii="宋体" w:hAnsi="宋体" w:eastAsia="宋体" w:cs="宋体"/>
                <w:color w:val="auto"/>
                <w:spacing w:val="-1"/>
                <w:kern w:val="2"/>
                <w:sz w:val="24"/>
                <w:szCs w:val="24"/>
                <w:highlight w:val="none"/>
                <w:lang w:val="zh-CN" w:eastAsia="zh-CN"/>
              </w:rPr>
            </w:pPr>
            <w:r>
              <w:rPr>
                <w:rFonts w:hint="eastAsia" w:ascii="宋体" w:hAnsi="宋体" w:eastAsia="宋体" w:cs="宋体"/>
                <w:color w:val="auto"/>
                <w:spacing w:val="-1"/>
                <w:kern w:val="2"/>
                <w:sz w:val="24"/>
                <w:szCs w:val="24"/>
                <w:highlight w:val="none"/>
                <w:lang w:val="en-US" w:eastAsia="zh-CN"/>
              </w:rPr>
              <w:t>④内容描述不完整、不合理的或未提供得0分。</w:t>
            </w:r>
          </w:p>
        </w:tc>
      </w:tr>
      <w:tr w14:paraId="16D0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2" w:type="dxa"/>
            <w:vMerge w:val="continue"/>
            <w:tcBorders>
              <w:left w:val="single" w:color="auto" w:sz="4" w:space="0"/>
              <w:right w:val="single" w:color="auto" w:sz="4" w:space="0"/>
            </w:tcBorders>
            <w:vAlign w:val="center"/>
          </w:tcPr>
          <w:p w14:paraId="0A7502B1">
            <w:pPr>
              <w:keepNext w:val="0"/>
              <w:keepLines w:val="0"/>
              <w:pageBreakBefore w:val="0"/>
              <w:widowControl/>
              <w:wordWrap/>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24"/>
                <w:szCs w:val="24"/>
                <w:highlight w:val="none"/>
              </w:rPr>
            </w:pPr>
          </w:p>
        </w:tc>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14:paraId="45F4EC95">
            <w:pPr>
              <w:keepNext w:val="0"/>
              <w:keepLines w:val="0"/>
              <w:pageBreakBefore w:val="0"/>
              <w:widowControl/>
              <w:wordWrap/>
              <w:topLinePunct w:val="0"/>
              <w:autoSpaceDE/>
              <w:autoSpaceDN/>
              <w:bidi w:val="0"/>
              <w:adjustRightInd/>
              <w:snapToGrid/>
              <w:spacing w:after="0" w:line="240" w:lineRule="auto"/>
              <w:jc w:val="center"/>
              <w:textAlignment w:val="auto"/>
              <w:rPr>
                <w:rFonts w:hint="eastAsia" w:ascii="宋体" w:hAnsi="宋体" w:eastAsia="宋体" w:cs="宋体"/>
                <w:color w:val="auto"/>
                <w:spacing w:val="-1"/>
                <w:kern w:val="2"/>
                <w:sz w:val="24"/>
                <w:szCs w:val="24"/>
                <w:highlight w:val="none"/>
                <w:lang w:val="zh-CN" w:eastAsia="zh-CN"/>
              </w:rPr>
            </w:pPr>
            <w:r>
              <w:rPr>
                <w:rFonts w:hint="eastAsia" w:ascii="宋体" w:hAnsi="宋体" w:eastAsia="宋体" w:cs="宋体"/>
                <w:color w:val="auto"/>
                <w:spacing w:val="-1"/>
                <w:kern w:val="2"/>
                <w:sz w:val="24"/>
                <w:szCs w:val="24"/>
                <w:highlight w:val="none"/>
                <w:lang w:val="en-US" w:eastAsia="zh-CN"/>
              </w:rPr>
              <w:t>服务方案</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024F761">
            <w:pPr>
              <w:keepNext w:val="0"/>
              <w:keepLines w:val="0"/>
              <w:pageBreakBefore w:val="0"/>
              <w:widowControl/>
              <w:wordWrap/>
              <w:topLinePunct w:val="0"/>
              <w:autoSpaceDE/>
              <w:autoSpaceDN/>
              <w:bidi w:val="0"/>
              <w:adjustRightInd/>
              <w:snapToGrid/>
              <w:spacing w:after="0" w:line="240" w:lineRule="auto"/>
              <w:jc w:val="center"/>
              <w:textAlignment w:val="auto"/>
              <w:rPr>
                <w:rFonts w:hint="default"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1</w:t>
            </w:r>
            <w:r>
              <w:rPr>
                <w:rFonts w:hint="default" w:ascii="宋体" w:hAnsi="宋体" w:eastAsia="宋体" w:cs="宋体"/>
                <w:color w:val="auto"/>
                <w:spacing w:val="-1"/>
                <w:kern w:val="2"/>
                <w:sz w:val="24"/>
                <w:szCs w:val="24"/>
                <w:highlight w:val="none"/>
                <w:lang w:val="en-US" w:eastAsia="zh-CN"/>
              </w:rPr>
              <w:t>5</w:t>
            </w:r>
          </w:p>
        </w:tc>
        <w:tc>
          <w:tcPr>
            <w:tcW w:w="7282" w:type="dxa"/>
            <w:tcBorders>
              <w:top w:val="single" w:color="auto" w:sz="4" w:space="0"/>
              <w:left w:val="single" w:color="auto" w:sz="4" w:space="0"/>
              <w:bottom w:val="single" w:color="auto" w:sz="4" w:space="0"/>
              <w:right w:val="single" w:color="auto" w:sz="4" w:space="0"/>
            </w:tcBorders>
            <w:shd w:val="clear" w:color="auto" w:fill="auto"/>
            <w:vAlign w:val="center"/>
          </w:tcPr>
          <w:p w14:paraId="5239328F">
            <w:pPr>
              <w:keepNext w:val="0"/>
              <w:keepLines w:val="0"/>
              <w:pageBreakBefore w:val="0"/>
              <w:widowControl/>
              <w:wordWrap/>
              <w:topLinePunct w:val="0"/>
              <w:autoSpaceDE/>
              <w:autoSpaceDN/>
              <w:bidi w:val="0"/>
              <w:adjustRightInd/>
              <w:snapToGrid/>
              <w:spacing w:after="0" w:line="240" w:lineRule="auto"/>
              <w:jc w:val="left"/>
              <w:textAlignment w:val="auto"/>
              <w:rPr>
                <w:rFonts w:hint="default"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1.评审内容：供应商依据本项目采购需求制定整体服务方案，根据（1）总体服务方案（2）日常管理方案（3）资料收集方案（4）信息反馈方案（5）沟通协调方案等5个方案进行评分，最高得1</w:t>
            </w:r>
            <w:r>
              <w:rPr>
                <w:rFonts w:hint="default" w:ascii="宋体" w:hAnsi="宋体" w:eastAsia="宋体" w:cs="宋体"/>
                <w:color w:val="auto"/>
                <w:spacing w:val="-1"/>
                <w:kern w:val="2"/>
                <w:sz w:val="24"/>
                <w:szCs w:val="24"/>
                <w:highlight w:val="none"/>
                <w:lang w:val="en-US" w:eastAsia="zh-CN"/>
              </w:rPr>
              <w:t>5</w:t>
            </w:r>
            <w:r>
              <w:rPr>
                <w:rFonts w:hint="eastAsia" w:ascii="宋体" w:hAnsi="宋体" w:eastAsia="宋体" w:cs="宋体"/>
                <w:color w:val="auto"/>
                <w:spacing w:val="-1"/>
                <w:kern w:val="2"/>
                <w:sz w:val="24"/>
                <w:szCs w:val="24"/>
                <w:highlight w:val="none"/>
                <w:lang w:val="en-US" w:eastAsia="zh-CN"/>
              </w:rPr>
              <w:t>分。</w:t>
            </w:r>
          </w:p>
          <w:p w14:paraId="1161D4FA">
            <w:pPr>
              <w:keepNext w:val="0"/>
              <w:keepLines w:val="0"/>
              <w:pageBreakBefore w:val="0"/>
              <w:widowControl/>
              <w:wordWrap/>
              <w:topLinePunct w:val="0"/>
              <w:autoSpaceDE/>
              <w:autoSpaceDN/>
              <w:bidi w:val="0"/>
              <w:adjustRightInd/>
              <w:snapToGrid/>
              <w:spacing w:after="0" w:line="240" w:lineRule="auto"/>
              <w:jc w:val="left"/>
              <w:textAlignment w:val="auto"/>
              <w:rPr>
                <w:rFonts w:hint="default"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2.评审标准</w:t>
            </w:r>
          </w:p>
          <w:p w14:paraId="1CF27CF3">
            <w:pPr>
              <w:keepNext w:val="0"/>
              <w:keepLines w:val="0"/>
              <w:pageBreakBefore w:val="0"/>
              <w:widowControl/>
              <w:wordWrap/>
              <w:topLinePunct w:val="0"/>
              <w:autoSpaceDE/>
              <w:autoSpaceDN/>
              <w:bidi w:val="0"/>
              <w:adjustRightInd/>
              <w:snapToGrid/>
              <w:spacing w:after="0" w:line="240" w:lineRule="auto"/>
              <w:jc w:val="left"/>
              <w:textAlignment w:val="auto"/>
              <w:rPr>
                <w:rFonts w:hint="default"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①单个方案完整、详细、合理、针对性强、实施性高得</w:t>
            </w:r>
            <w:r>
              <w:rPr>
                <w:rFonts w:hint="default" w:ascii="宋体" w:hAnsi="宋体" w:eastAsia="宋体" w:cs="宋体"/>
                <w:color w:val="auto"/>
                <w:spacing w:val="-1"/>
                <w:kern w:val="2"/>
                <w:sz w:val="24"/>
                <w:szCs w:val="24"/>
                <w:highlight w:val="none"/>
                <w:lang w:val="en-US" w:eastAsia="zh-CN"/>
              </w:rPr>
              <w:t>3</w:t>
            </w:r>
            <w:r>
              <w:rPr>
                <w:rFonts w:hint="eastAsia" w:ascii="宋体" w:hAnsi="宋体" w:eastAsia="宋体" w:cs="宋体"/>
                <w:color w:val="auto"/>
                <w:spacing w:val="-1"/>
                <w:kern w:val="2"/>
                <w:sz w:val="24"/>
                <w:szCs w:val="24"/>
                <w:highlight w:val="none"/>
                <w:lang w:val="en-US" w:eastAsia="zh-CN"/>
              </w:rPr>
              <w:t>分；</w:t>
            </w:r>
          </w:p>
          <w:p w14:paraId="21F538B2">
            <w:pPr>
              <w:keepNext w:val="0"/>
              <w:keepLines w:val="0"/>
              <w:pageBreakBefore w:val="0"/>
              <w:widowControl/>
              <w:wordWrap/>
              <w:topLinePunct w:val="0"/>
              <w:autoSpaceDE/>
              <w:autoSpaceDN/>
              <w:bidi w:val="0"/>
              <w:adjustRightInd/>
              <w:snapToGrid/>
              <w:spacing w:after="0" w:line="240" w:lineRule="auto"/>
              <w:jc w:val="left"/>
              <w:textAlignment w:val="auto"/>
              <w:rPr>
                <w:rFonts w:hint="default"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②单个方案基本完整、基本可行、有一定的针对性和实施性得</w:t>
            </w:r>
            <w:r>
              <w:rPr>
                <w:rFonts w:hint="default" w:ascii="宋体" w:hAnsi="宋体" w:eastAsia="宋体" w:cs="宋体"/>
                <w:color w:val="auto"/>
                <w:spacing w:val="-1"/>
                <w:kern w:val="2"/>
                <w:sz w:val="24"/>
                <w:szCs w:val="24"/>
                <w:highlight w:val="none"/>
                <w:lang w:val="en-US" w:eastAsia="zh-CN"/>
              </w:rPr>
              <w:t>2</w:t>
            </w:r>
            <w:r>
              <w:rPr>
                <w:rFonts w:hint="eastAsia" w:ascii="宋体" w:hAnsi="宋体" w:eastAsia="宋体" w:cs="宋体"/>
                <w:color w:val="auto"/>
                <w:spacing w:val="-1"/>
                <w:kern w:val="2"/>
                <w:sz w:val="24"/>
                <w:szCs w:val="24"/>
                <w:highlight w:val="none"/>
                <w:lang w:val="en-US" w:eastAsia="zh-CN"/>
              </w:rPr>
              <w:t>分；</w:t>
            </w:r>
          </w:p>
          <w:p w14:paraId="0F465904">
            <w:pPr>
              <w:keepNext w:val="0"/>
              <w:keepLines w:val="0"/>
              <w:pageBreakBefore w:val="0"/>
              <w:widowControl/>
              <w:wordWrap/>
              <w:topLinePunct w:val="0"/>
              <w:autoSpaceDE/>
              <w:autoSpaceDN/>
              <w:bidi w:val="0"/>
              <w:adjustRightInd/>
              <w:snapToGrid/>
              <w:spacing w:after="0" w:line="240" w:lineRule="auto"/>
              <w:jc w:val="left"/>
              <w:textAlignment w:val="auto"/>
              <w:rPr>
                <w:rFonts w:hint="default"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③单个方案缺少针对性得</w:t>
            </w:r>
            <w:r>
              <w:rPr>
                <w:rFonts w:hint="default" w:ascii="宋体" w:hAnsi="宋体" w:eastAsia="宋体" w:cs="宋体"/>
                <w:color w:val="auto"/>
                <w:spacing w:val="-1"/>
                <w:kern w:val="2"/>
                <w:sz w:val="24"/>
                <w:szCs w:val="24"/>
                <w:highlight w:val="none"/>
                <w:lang w:val="en-US" w:eastAsia="zh-CN"/>
              </w:rPr>
              <w:t>1</w:t>
            </w:r>
            <w:r>
              <w:rPr>
                <w:rFonts w:hint="eastAsia" w:ascii="宋体" w:hAnsi="宋体" w:eastAsia="宋体" w:cs="宋体"/>
                <w:color w:val="auto"/>
                <w:spacing w:val="-1"/>
                <w:kern w:val="2"/>
                <w:sz w:val="24"/>
                <w:szCs w:val="24"/>
                <w:highlight w:val="none"/>
                <w:lang w:val="en-US" w:eastAsia="zh-CN"/>
              </w:rPr>
              <w:t>分；</w:t>
            </w:r>
          </w:p>
          <w:p w14:paraId="4C78BFAB">
            <w:pPr>
              <w:keepNext w:val="0"/>
              <w:keepLines w:val="0"/>
              <w:pageBreakBefore w:val="0"/>
              <w:widowControl/>
              <w:wordWrap/>
              <w:topLinePunct w:val="0"/>
              <w:autoSpaceDE/>
              <w:autoSpaceDN/>
              <w:bidi w:val="0"/>
              <w:adjustRightInd/>
              <w:snapToGrid/>
              <w:spacing w:after="0" w:line="240" w:lineRule="auto"/>
              <w:jc w:val="left"/>
              <w:textAlignment w:val="auto"/>
              <w:rPr>
                <w:rFonts w:hint="eastAsia" w:ascii="宋体" w:hAnsi="宋体" w:eastAsia="宋体" w:cs="宋体"/>
                <w:color w:val="auto"/>
                <w:spacing w:val="-1"/>
                <w:kern w:val="2"/>
                <w:sz w:val="24"/>
                <w:szCs w:val="24"/>
                <w:highlight w:val="none"/>
                <w:lang w:val="zh-CN" w:eastAsia="zh-CN"/>
              </w:rPr>
            </w:pPr>
            <w:r>
              <w:rPr>
                <w:rFonts w:hint="eastAsia" w:ascii="宋体" w:hAnsi="宋体" w:eastAsia="宋体" w:cs="宋体"/>
                <w:color w:val="auto"/>
                <w:spacing w:val="-1"/>
                <w:kern w:val="2"/>
                <w:sz w:val="24"/>
                <w:szCs w:val="24"/>
                <w:highlight w:val="none"/>
                <w:lang w:val="en-US" w:eastAsia="zh-CN"/>
              </w:rPr>
              <w:t>④方案描述不完整、不合理的或提供得0分。</w:t>
            </w:r>
          </w:p>
        </w:tc>
      </w:tr>
      <w:tr w14:paraId="72D7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2" w:type="dxa"/>
            <w:vMerge w:val="continue"/>
            <w:tcBorders>
              <w:left w:val="single" w:color="auto" w:sz="4" w:space="0"/>
              <w:right w:val="single" w:color="auto" w:sz="4" w:space="0"/>
            </w:tcBorders>
            <w:vAlign w:val="center"/>
          </w:tcPr>
          <w:p w14:paraId="1610B138">
            <w:pPr>
              <w:keepNext w:val="0"/>
              <w:keepLines w:val="0"/>
              <w:pageBreakBefore w:val="0"/>
              <w:widowControl/>
              <w:wordWrap/>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24"/>
                <w:szCs w:val="24"/>
                <w:highlight w:val="none"/>
              </w:rPr>
            </w:pPr>
          </w:p>
        </w:tc>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14:paraId="196B77DB">
            <w:pPr>
              <w:keepNext w:val="0"/>
              <w:keepLines w:val="0"/>
              <w:pageBreakBefore w:val="0"/>
              <w:widowControl/>
              <w:wordWrap/>
              <w:topLinePunct w:val="0"/>
              <w:autoSpaceDE/>
              <w:autoSpaceDN/>
              <w:bidi w:val="0"/>
              <w:adjustRightInd/>
              <w:snapToGrid/>
              <w:spacing w:after="0" w:line="240" w:lineRule="auto"/>
              <w:jc w:val="center"/>
              <w:textAlignment w:val="auto"/>
              <w:rPr>
                <w:rFonts w:hint="eastAsia" w:ascii="宋体" w:hAnsi="宋体" w:eastAsia="宋体" w:cs="宋体"/>
                <w:color w:val="auto"/>
                <w:spacing w:val="-1"/>
                <w:kern w:val="2"/>
                <w:sz w:val="24"/>
                <w:szCs w:val="24"/>
                <w:highlight w:val="none"/>
                <w:lang w:val="zh-CN" w:eastAsia="zh-CN"/>
              </w:rPr>
            </w:pPr>
            <w:r>
              <w:rPr>
                <w:rFonts w:hint="eastAsia" w:ascii="宋体" w:hAnsi="宋体" w:eastAsia="宋体" w:cs="宋体"/>
                <w:color w:val="auto"/>
                <w:spacing w:val="-1"/>
                <w:kern w:val="2"/>
                <w:sz w:val="24"/>
                <w:szCs w:val="24"/>
                <w:highlight w:val="none"/>
                <w:lang w:val="en-US" w:eastAsia="zh-CN"/>
              </w:rPr>
              <w:t>应急预案及处理措施</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AE1BD1D">
            <w:pPr>
              <w:keepNext w:val="0"/>
              <w:keepLines w:val="0"/>
              <w:pageBreakBefore w:val="0"/>
              <w:widowControl/>
              <w:wordWrap/>
              <w:topLinePunct w:val="0"/>
              <w:autoSpaceDE/>
              <w:autoSpaceDN/>
              <w:bidi w:val="0"/>
              <w:adjustRightInd/>
              <w:snapToGrid/>
              <w:spacing w:after="0" w:line="240" w:lineRule="auto"/>
              <w:jc w:val="center"/>
              <w:textAlignment w:val="auto"/>
              <w:rPr>
                <w:rFonts w:hint="eastAsia" w:ascii="宋体" w:hAnsi="宋体" w:eastAsia="宋体" w:cs="宋体"/>
                <w:color w:val="auto"/>
                <w:spacing w:val="-1"/>
                <w:kern w:val="2"/>
                <w:sz w:val="24"/>
                <w:szCs w:val="24"/>
                <w:highlight w:val="none"/>
                <w:lang w:val="zh-CN" w:eastAsia="zh-CN"/>
              </w:rPr>
            </w:pPr>
            <w:r>
              <w:rPr>
                <w:rFonts w:hint="eastAsia" w:ascii="宋体" w:hAnsi="宋体" w:eastAsia="宋体" w:cs="宋体"/>
                <w:color w:val="auto"/>
                <w:spacing w:val="-1"/>
                <w:kern w:val="2"/>
                <w:sz w:val="24"/>
                <w:szCs w:val="24"/>
                <w:highlight w:val="none"/>
                <w:lang w:val="en-US" w:eastAsia="zh-CN"/>
              </w:rPr>
              <w:t>9</w:t>
            </w:r>
          </w:p>
        </w:tc>
        <w:tc>
          <w:tcPr>
            <w:tcW w:w="7282" w:type="dxa"/>
            <w:tcBorders>
              <w:top w:val="single" w:color="auto" w:sz="4" w:space="0"/>
              <w:left w:val="single" w:color="auto" w:sz="4" w:space="0"/>
              <w:bottom w:val="single" w:color="auto" w:sz="4" w:space="0"/>
              <w:right w:val="single" w:color="auto" w:sz="4" w:space="0"/>
            </w:tcBorders>
            <w:shd w:val="clear" w:color="auto" w:fill="auto"/>
            <w:vAlign w:val="center"/>
          </w:tcPr>
          <w:p w14:paraId="2DA23D8C">
            <w:pPr>
              <w:keepNext w:val="0"/>
              <w:keepLines w:val="0"/>
              <w:pageBreakBefore w:val="0"/>
              <w:widowControl/>
              <w:wordWrap/>
              <w:topLinePunct w:val="0"/>
              <w:autoSpaceDE/>
              <w:autoSpaceDN/>
              <w:bidi w:val="0"/>
              <w:adjustRightInd/>
              <w:snapToGrid/>
              <w:spacing w:after="0" w:line="240" w:lineRule="auto"/>
              <w:jc w:val="left"/>
              <w:textAlignment w:val="auto"/>
              <w:rPr>
                <w:rFonts w:hint="default"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1.评审内容：根据供应商在项目服务全过程中可能出现的各种突发状况，编制的应急预案及处理措施进行评分，最高得9分。</w:t>
            </w:r>
          </w:p>
          <w:p w14:paraId="2FC93564">
            <w:pPr>
              <w:keepNext w:val="0"/>
              <w:keepLines w:val="0"/>
              <w:pageBreakBefore w:val="0"/>
              <w:widowControl/>
              <w:wordWrap/>
              <w:topLinePunct w:val="0"/>
              <w:autoSpaceDE/>
              <w:autoSpaceDN/>
              <w:bidi w:val="0"/>
              <w:adjustRightInd/>
              <w:snapToGrid/>
              <w:spacing w:after="0" w:line="240" w:lineRule="auto"/>
              <w:jc w:val="left"/>
              <w:textAlignment w:val="auto"/>
              <w:rPr>
                <w:rFonts w:hint="default"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2.评审标准：</w:t>
            </w:r>
          </w:p>
          <w:p w14:paraId="1D2A3B30">
            <w:pPr>
              <w:keepNext w:val="0"/>
              <w:keepLines w:val="0"/>
              <w:pageBreakBefore w:val="0"/>
              <w:widowControl/>
              <w:wordWrap/>
              <w:topLinePunct w:val="0"/>
              <w:autoSpaceDE/>
              <w:autoSpaceDN/>
              <w:bidi w:val="0"/>
              <w:adjustRightInd/>
              <w:snapToGrid/>
              <w:spacing w:after="0" w:line="240" w:lineRule="auto"/>
              <w:jc w:val="left"/>
              <w:textAlignment w:val="auto"/>
              <w:rPr>
                <w:rFonts w:hint="default"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①对各类突发事件描述详细，且处理措施针对性强、实施性高、可行性高得9分；</w:t>
            </w:r>
          </w:p>
          <w:p w14:paraId="6729BA03">
            <w:pPr>
              <w:keepNext w:val="0"/>
              <w:keepLines w:val="0"/>
              <w:pageBreakBefore w:val="0"/>
              <w:widowControl/>
              <w:wordWrap/>
              <w:topLinePunct w:val="0"/>
              <w:autoSpaceDE/>
              <w:autoSpaceDN/>
              <w:bidi w:val="0"/>
              <w:adjustRightInd/>
              <w:snapToGrid/>
              <w:spacing w:after="0" w:line="240" w:lineRule="auto"/>
              <w:jc w:val="left"/>
              <w:textAlignment w:val="auto"/>
              <w:rPr>
                <w:rFonts w:hint="default"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②对各类突发事件描述基本详细，处理措施有一定的实施性、可行性得6分；</w:t>
            </w:r>
          </w:p>
          <w:p w14:paraId="1DEBB763">
            <w:pPr>
              <w:keepNext w:val="0"/>
              <w:keepLines w:val="0"/>
              <w:pageBreakBefore w:val="0"/>
              <w:widowControl/>
              <w:wordWrap/>
              <w:topLinePunct w:val="0"/>
              <w:autoSpaceDE/>
              <w:autoSpaceDN/>
              <w:bidi w:val="0"/>
              <w:adjustRightInd/>
              <w:snapToGrid/>
              <w:spacing w:after="0" w:line="240" w:lineRule="auto"/>
              <w:jc w:val="left"/>
              <w:textAlignment w:val="auto"/>
              <w:rPr>
                <w:rFonts w:hint="default"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③对各类突发事件描述处理措施实施性、可行性不高的3分；</w:t>
            </w:r>
          </w:p>
          <w:p w14:paraId="0E2566DD">
            <w:pPr>
              <w:keepNext w:val="0"/>
              <w:keepLines w:val="0"/>
              <w:pageBreakBefore w:val="0"/>
              <w:widowControl/>
              <w:wordWrap/>
              <w:topLinePunct w:val="0"/>
              <w:autoSpaceDE/>
              <w:autoSpaceDN/>
              <w:bidi w:val="0"/>
              <w:adjustRightInd/>
              <w:snapToGrid/>
              <w:spacing w:after="0" w:line="240" w:lineRule="auto"/>
              <w:jc w:val="left"/>
              <w:textAlignment w:val="auto"/>
              <w:rPr>
                <w:rFonts w:hint="eastAsia" w:ascii="宋体" w:hAnsi="宋体" w:eastAsia="宋体" w:cs="宋体"/>
                <w:color w:val="auto"/>
                <w:spacing w:val="-1"/>
                <w:kern w:val="2"/>
                <w:sz w:val="24"/>
                <w:szCs w:val="24"/>
                <w:highlight w:val="none"/>
                <w:lang w:val="zh-CN" w:eastAsia="zh-CN"/>
              </w:rPr>
            </w:pPr>
            <w:r>
              <w:rPr>
                <w:rFonts w:hint="eastAsia" w:ascii="宋体" w:hAnsi="宋体" w:eastAsia="宋体" w:cs="宋体"/>
                <w:color w:val="auto"/>
                <w:spacing w:val="-1"/>
                <w:kern w:val="2"/>
                <w:sz w:val="24"/>
                <w:szCs w:val="24"/>
                <w:highlight w:val="none"/>
                <w:lang w:val="en-US" w:eastAsia="zh-CN"/>
              </w:rPr>
              <w:t>④内容描述不完整、不合理的或未提供得0分。</w:t>
            </w:r>
          </w:p>
        </w:tc>
      </w:tr>
      <w:tr w14:paraId="013C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2" w:type="dxa"/>
            <w:vMerge w:val="continue"/>
            <w:tcBorders>
              <w:left w:val="single" w:color="auto" w:sz="4" w:space="0"/>
              <w:right w:val="single" w:color="auto" w:sz="4" w:space="0"/>
            </w:tcBorders>
            <w:vAlign w:val="center"/>
          </w:tcPr>
          <w:p w14:paraId="57C292F2">
            <w:pPr>
              <w:keepNext w:val="0"/>
              <w:keepLines w:val="0"/>
              <w:pageBreakBefore w:val="0"/>
              <w:widowControl/>
              <w:wordWrap/>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24"/>
                <w:szCs w:val="24"/>
                <w:highlight w:val="none"/>
              </w:rPr>
            </w:pPr>
          </w:p>
        </w:tc>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14:paraId="303759EA">
            <w:pPr>
              <w:keepNext w:val="0"/>
              <w:keepLines w:val="0"/>
              <w:pageBreakBefore w:val="0"/>
              <w:widowControl/>
              <w:wordWrap/>
              <w:topLinePunct w:val="0"/>
              <w:autoSpaceDE/>
              <w:autoSpaceDN/>
              <w:bidi w:val="0"/>
              <w:adjustRightInd/>
              <w:snapToGrid/>
              <w:spacing w:after="0" w:line="240" w:lineRule="auto"/>
              <w:jc w:val="center"/>
              <w:textAlignment w:val="auto"/>
              <w:rPr>
                <w:rFonts w:hint="eastAsia" w:ascii="宋体" w:hAnsi="宋体" w:eastAsia="宋体" w:cs="宋体"/>
                <w:color w:val="auto"/>
                <w:spacing w:val="-1"/>
                <w:kern w:val="2"/>
                <w:sz w:val="24"/>
                <w:szCs w:val="24"/>
                <w:highlight w:val="none"/>
                <w:lang w:val="zh-CN" w:eastAsia="zh-CN"/>
              </w:rPr>
            </w:pPr>
            <w:r>
              <w:rPr>
                <w:rFonts w:hint="eastAsia" w:ascii="宋体" w:hAnsi="宋体" w:eastAsia="宋体" w:cs="宋体"/>
                <w:color w:val="auto"/>
                <w:spacing w:val="-1"/>
                <w:kern w:val="2"/>
                <w:sz w:val="24"/>
                <w:szCs w:val="24"/>
                <w:highlight w:val="none"/>
                <w:lang w:val="en-US" w:eastAsia="zh-CN"/>
              </w:rPr>
              <w:t>服务质量保障措施</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24E2D8C">
            <w:pPr>
              <w:keepNext w:val="0"/>
              <w:keepLines w:val="0"/>
              <w:pageBreakBefore w:val="0"/>
              <w:widowControl/>
              <w:wordWrap/>
              <w:topLinePunct w:val="0"/>
              <w:autoSpaceDE/>
              <w:autoSpaceDN/>
              <w:bidi w:val="0"/>
              <w:adjustRightInd/>
              <w:snapToGrid/>
              <w:spacing w:after="0" w:line="240" w:lineRule="auto"/>
              <w:jc w:val="center"/>
              <w:textAlignment w:val="auto"/>
              <w:rPr>
                <w:rFonts w:hint="default"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9</w:t>
            </w:r>
          </w:p>
        </w:tc>
        <w:tc>
          <w:tcPr>
            <w:tcW w:w="7282" w:type="dxa"/>
            <w:tcBorders>
              <w:top w:val="single" w:color="auto" w:sz="4" w:space="0"/>
              <w:left w:val="single" w:color="auto" w:sz="4" w:space="0"/>
              <w:bottom w:val="single" w:color="auto" w:sz="4" w:space="0"/>
              <w:right w:val="single" w:color="auto" w:sz="4" w:space="0"/>
            </w:tcBorders>
            <w:shd w:val="clear" w:color="auto" w:fill="auto"/>
            <w:vAlign w:val="center"/>
          </w:tcPr>
          <w:p w14:paraId="5DCE31CC">
            <w:pPr>
              <w:keepNext w:val="0"/>
              <w:keepLines w:val="0"/>
              <w:pageBreakBefore w:val="0"/>
              <w:widowControl/>
              <w:wordWrap/>
              <w:topLinePunct w:val="0"/>
              <w:autoSpaceDE/>
              <w:autoSpaceDN/>
              <w:bidi w:val="0"/>
              <w:adjustRightInd/>
              <w:snapToGrid/>
              <w:spacing w:after="0" w:line="240" w:lineRule="auto"/>
              <w:jc w:val="left"/>
              <w:textAlignment w:val="auto"/>
              <w:rPr>
                <w:rFonts w:hint="default"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1.评审内容：根据供应商提供的服务质量保障措施进行评分，最高得9分。</w:t>
            </w:r>
          </w:p>
          <w:p w14:paraId="0DA7EC14">
            <w:pPr>
              <w:keepNext w:val="0"/>
              <w:keepLines w:val="0"/>
              <w:pageBreakBefore w:val="0"/>
              <w:widowControl/>
              <w:wordWrap/>
              <w:topLinePunct w:val="0"/>
              <w:autoSpaceDE/>
              <w:autoSpaceDN/>
              <w:bidi w:val="0"/>
              <w:adjustRightInd/>
              <w:snapToGrid/>
              <w:spacing w:after="0" w:line="240" w:lineRule="auto"/>
              <w:jc w:val="left"/>
              <w:textAlignment w:val="auto"/>
              <w:rPr>
                <w:rFonts w:hint="default"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2.评审标准：</w:t>
            </w:r>
          </w:p>
          <w:p w14:paraId="0C663E69">
            <w:pPr>
              <w:keepNext w:val="0"/>
              <w:keepLines w:val="0"/>
              <w:pageBreakBefore w:val="0"/>
              <w:widowControl/>
              <w:wordWrap/>
              <w:topLinePunct w:val="0"/>
              <w:autoSpaceDE/>
              <w:autoSpaceDN/>
              <w:bidi w:val="0"/>
              <w:adjustRightInd/>
              <w:snapToGrid/>
              <w:spacing w:after="0" w:line="240" w:lineRule="auto"/>
              <w:jc w:val="left"/>
              <w:textAlignment w:val="auto"/>
              <w:rPr>
                <w:rFonts w:hint="default"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①内容全面、清晰、准确，与项目实际贴合，可行性强，科学合理且处罚承诺明确得9分；</w:t>
            </w:r>
          </w:p>
          <w:p w14:paraId="0BA3FFDC">
            <w:pPr>
              <w:keepNext w:val="0"/>
              <w:keepLines w:val="0"/>
              <w:pageBreakBefore w:val="0"/>
              <w:widowControl/>
              <w:wordWrap/>
              <w:topLinePunct w:val="0"/>
              <w:autoSpaceDE/>
              <w:autoSpaceDN/>
              <w:bidi w:val="0"/>
              <w:adjustRightInd/>
              <w:snapToGrid/>
              <w:spacing w:after="0" w:line="240" w:lineRule="auto"/>
              <w:jc w:val="left"/>
              <w:textAlignment w:val="auto"/>
              <w:rPr>
                <w:rFonts w:hint="default"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②内容基本详细、可行，且处罚承诺有一定的可行性得6分；</w:t>
            </w:r>
          </w:p>
          <w:p w14:paraId="40A03F25">
            <w:pPr>
              <w:keepNext w:val="0"/>
              <w:keepLines w:val="0"/>
              <w:pageBreakBefore w:val="0"/>
              <w:widowControl/>
              <w:wordWrap/>
              <w:topLinePunct w:val="0"/>
              <w:autoSpaceDE/>
              <w:autoSpaceDN/>
              <w:bidi w:val="0"/>
              <w:adjustRightInd/>
              <w:snapToGrid/>
              <w:spacing w:after="0" w:line="240" w:lineRule="auto"/>
              <w:jc w:val="left"/>
              <w:textAlignment w:val="auto"/>
              <w:rPr>
                <w:rFonts w:hint="default"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③内容、处罚承诺不严谨、缺少针对性的得3分；</w:t>
            </w:r>
          </w:p>
          <w:p w14:paraId="3B425C73">
            <w:pPr>
              <w:keepNext w:val="0"/>
              <w:keepLines w:val="0"/>
              <w:pageBreakBefore w:val="0"/>
              <w:widowControl/>
              <w:wordWrap/>
              <w:topLinePunct w:val="0"/>
              <w:autoSpaceDE/>
              <w:autoSpaceDN/>
              <w:bidi w:val="0"/>
              <w:adjustRightInd/>
              <w:snapToGrid/>
              <w:spacing w:after="0" w:line="240" w:lineRule="auto"/>
              <w:jc w:val="left"/>
              <w:textAlignment w:val="auto"/>
              <w:rPr>
                <w:rFonts w:hint="eastAsia" w:ascii="宋体" w:hAnsi="宋体" w:eastAsia="宋体" w:cs="宋体"/>
                <w:color w:val="auto"/>
                <w:spacing w:val="-1"/>
                <w:kern w:val="2"/>
                <w:sz w:val="24"/>
                <w:szCs w:val="24"/>
                <w:highlight w:val="none"/>
                <w:lang w:val="zh-CN" w:eastAsia="zh-CN"/>
              </w:rPr>
            </w:pPr>
            <w:r>
              <w:rPr>
                <w:rFonts w:hint="eastAsia" w:ascii="宋体" w:hAnsi="宋体" w:eastAsia="宋体" w:cs="宋体"/>
                <w:color w:val="auto"/>
                <w:spacing w:val="-1"/>
                <w:kern w:val="2"/>
                <w:sz w:val="24"/>
                <w:szCs w:val="24"/>
                <w:highlight w:val="none"/>
                <w:lang w:val="en-US" w:eastAsia="zh-CN"/>
              </w:rPr>
              <w:t>④内容描述不完整、不合理的或未提供得0分。</w:t>
            </w:r>
          </w:p>
        </w:tc>
      </w:tr>
      <w:tr w14:paraId="3652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2" w:type="dxa"/>
            <w:vMerge w:val="continue"/>
            <w:tcBorders>
              <w:left w:val="single" w:color="auto" w:sz="4" w:space="0"/>
              <w:right w:val="single" w:color="auto" w:sz="4" w:space="0"/>
            </w:tcBorders>
            <w:vAlign w:val="center"/>
          </w:tcPr>
          <w:p w14:paraId="35D6DAC8">
            <w:pPr>
              <w:keepNext w:val="0"/>
              <w:keepLines w:val="0"/>
              <w:pageBreakBefore w:val="0"/>
              <w:widowControl/>
              <w:wordWrap/>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24"/>
                <w:szCs w:val="24"/>
                <w:highlight w:val="none"/>
              </w:rPr>
            </w:pPr>
          </w:p>
        </w:tc>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14:paraId="70CDBA96">
            <w:pPr>
              <w:keepNext w:val="0"/>
              <w:keepLines w:val="0"/>
              <w:pageBreakBefore w:val="0"/>
              <w:widowControl/>
              <w:wordWrap/>
              <w:topLinePunct w:val="0"/>
              <w:autoSpaceDE/>
              <w:autoSpaceDN/>
              <w:bidi w:val="0"/>
              <w:adjustRightInd/>
              <w:snapToGrid/>
              <w:spacing w:after="0" w:line="240" w:lineRule="auto"/>
              <w:jc w:val="center"/>
              <w:textAlignment w:val="auto"/>
              <w:rPr>
                <w:rFonts w:hint="eastAsia" w:ascii="宋体" w:hAnsi="宋体" w:eastAsia="宋体" w:cs="宋体"/>
                <w:color w:val="auto"/>
                <w:spacing w:val="-1"/>
                <w:kern w:val="2"/>
                <w:sz w:val="24"/>
                <w:szCs w:val="24"/>
                <w:highlight w:val="none"/>
                <w:lang w:val="zh-CN" w:eastAsia="zh-CN"/>
              </w:rPr>
            </w:pPr>
            <w:r>
              <w:rPr>
                <w:rFonts w:hint="eastAsia" w:ascii="宋体" w:hAnsi="宋体" w:eastAsia="宋体" w:cs="宋体"/>
                <w:color w:val="auto"/>
                <w:spacing w:val="-1"/>
                <w:kern w:val="2"/>
                <w:sz w:val="24"/>
                <w:szCs w:val="24"/>
                <w:highlight w:val="none"/>
                <w:lang w:val="en-US" w:eastAsia="zh-CN"/>
              </w:rPr>
              <w:t>服务团队管理方案</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A2329AD">
            <w:pPr>
              <w:keepNext w:val="0"/>
              <w:keepLines w:val="0"/>
              <w:pageBreakBefore w:val="0"/>
              <w:widowControl/>
              <w:wordWrap/>
              <w:topLinePunct w:val="0"/>
              <w:autoSpaceDE/>
              <w:autoSpaceDN/>
              <w:bidi w:val="0"/>
              <w:adjustRightInd/>
              <w:snapToGrid/>
              <w:spacing w:after="0" w:line="240" w:lineRule="auto"/>
              <w:jc w:val="center"/>
              <w:textAlignment w:val="auto"/>
              <w:rPr>
                <w:rFonts w:hint="eastAsia" w:ascii="宋体" w:hAnsi="宋体" w:eastAsia="宋体" w:cs="宋体"/>
                <w:color w:val="auto"/>
                <w:spacing w:val="-1"/>
                <w:kern w:val="2"/>
                <w:sz w:val="24"/>
                <w:szCs w:val="24"/>
                <w:highlight w:val="none"/>
                <w:lang w:val="zh-CN" w:eastAsia="zh-CN"/>
              </w:rPr>
            </w:pPr>
            <w:r>
              <w:rPr>
                <w:rFonts w:hint="default" w:ascii="宋体" w:hAnsi="宋体" w:eastAsia="宋体" w:cs="宋体"/>
                <w:color w:val="auto"/>
                <w:spacing w:val="-1"/>
                <w:kern w:val="2"/>
                <w:sz w:val="24"/>
                <w:szCs w:val="24"/>
                <w:highlight w:val="none"/>
                <w:lang w:val="en-US" w:eastAsia="zh-CN"/>
              </w:rPr>
              <w:t>6</w:t>
            </w:r>
          </w:p>
        </w:tc>
        <w:tc>
          <w:tcPr>
            <w:tcW w:w="7282" w:type="dxa"/>
            <w:tcBorders>
              <w:top w:val="single" w:color="auto" w:sz="4" w:space="0"/>
              <w:left w:val="single" w:color="auto" w:sz="4" w:space="0"/>
              <w:bottom w:val="single" w:color="auto" w:sz="4" w:space="0"/>
              <w:right w:val="single" w:color="auto" w:sz="4" w:space="0"/>
            </w:tcBorders>
            <w:shd w:val="clear" w:color="auto" w:fill="auto"/>
            <w:vAlign w:val="center"/>
          </w:tcPr>
          <w:p w14:paraId="3DB962A3">
            <w:pPr>
              <w:keepNext w:val="0"/>
              <w:keepLines w:val="0"/>
              <w:pageBreakBefore w:val="0"/>
              <w:widowControl/>
              <w:wordWrap/>
              <w:topLinePunct w:val="0"/>
              <w:autoSpaceDE/>
              <w:autoSpaceDN/>
              <w:bidi w:val="0"/>
              <w:adjustRightInd/>
              <w:snapToGrid/>
              <w:spacing w:after="0" w:line="240" w:lineRule="auto"/>
              <w:jc w:val="left"/>
              <w:textAlignment w:val="auto"/>
              <w:rPr>
                <w:rFonts w:hint="default"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1.评审内容：根据供应商制定保证人员稳定、完善考核管理制度进行评分，最高得6分。</w:t>
            </w:r>
          </w:p>
          <w:p w14:paraId="3EE98934">
            <w:pPr>
              <w:keepNext w:val="0"/>
              <w:keepLines w:val="0"/>
              <w:pageBreakBefore w:val="0"/>
              <w:widowControl/>
              <w:wordWrap/>
              <w:topLinePunct w:val="0"/>
              <w:autoSpaceDE/>
              <w:autoSpaceDN/>
              <w:bidi w:val="0"/>
              <w:adjustRightInd/>
              <w:snapToGrid/>
              <w:spacing w:after="0" w:line="240" w:lineRule="auto"/>
              <w:jc w:val="left"/>
              <w:textAlignment w:val="auto"/>
              <w:rPr>
                <w:rFonts w:hint="default"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2.评审标准：</w:t>
            </w:r>
          </w:p>
          <w:p w14:paraId="23095307">
            <w:pPr>
              <w:keepNext w:val="0"/>
              <w:keepLines w:val="0"/>
              <w:pageBreakBefore w:val="0"/>
              <w:widowControl/>
              <w:wordWrap/>
              <w:topLinePunct w:val="0"/>
              <w:autoSpaceDE/>
              <w:autoSpaceDN/>
              <w:bidi w:val="0"/>
              <w:adjustRightInd/>
              <w:snapToGrid/>
              <w:spacing w:after="0" w:line="240" w:lineRule="auto"/>
              <w:jc w:val="left"/>
              <w:textAlignment w:val="auto"/>
              <w:rPr>
                <w:rFonts w:hint="default"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①内容完整、详细、合理、针对性强、实施性高得6分；</w:t>
            </w:r>
          </w:p>
          <w:p w14:paraId="222656AA">
            <w:pPr>
              <w:keepNext w:val="0"/>
              <w:keepLines w:val="0"/>
              <w:pageBreakBefore w:val="0"/>
              <w:widowControl/>
              <w:wordWrap/>
              <w:topLinePunct w:val="0"/>
              <w:autoSpaceDE/>
              <w:autoSpaceDN/>
              <w:bidi w:val="0"/>
              <w:adjustRightInd/>
              <w:snapToGrid/>
              <w:spacing w:after="0" w:line="240" w:lineRule="auto"/>
              <w:jc w:val="left"/>
              <w:textAlignment w:val="auto"/>
              <w:rPr>
                <w:rFonts w:hint="default"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②内容基本完整、基本可行、有一定的针对性和实施性得4分；</w:t>
            </w:r>
          </w:p>
          <w:p w14:paraId="1C130798">
            <w:pPr>
              <w:keepNext w:val="0"/>
              <w:keepLines w:val="0"/>
              <w:pageBreakBefore w:val="0"/>
              <w:widowControl/>
              <w:wordWrap/>
              <w:topLinePunct w:val="0"/>
              <w:autoSpaceDE/>
              <w:autoSpaceDN/>
              <w:bidi w:val="0"/>
              <w:adjustRightInd/>
              <w:snapToGrid/>
              <w:spacing w:after="0" w:line="240" w:lineRule="auto"/>
              <w:jc w:val="left"/>
              <w:textAlignment w:val="auto"/>
              <w:rPr>
                <w:rFonts w:hint="default"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③内容不严谨、缺少针对性的得2分；</w:t>
            </w:r>
          </w:p>
          <w:p w14:paraId="5F2C7854">
            <w:pPr>
              <w:keepNext w:val="0"/>
              <w:keepLines w:val="0"/>
              <w:pageBreakBefore w:val="0"/>
              <w:widowControl/>
              <w:wordWrap/>
              <w:topLinePunct w:val="0"/>
              <w:autoSpaceDE/>
              <w:autoSpaceDN/>
              <w:bidi w:val="0"/>
              <w:adjustRightInd/>
              <w:snapToGrid/>
              <w:spacing w:after="0" w:line="240" w:lineRule="auto"/>
              <w:jc w:val="left"/>
              <w:textAlignment w:val="auto"/>
              <w:rPr>
                <w:rFonts w:hint="eastAsia" w:ascii="宋体" w:hAnsi="宋体" w:eastAsia="宋体" w:cs="宋体"/>
                <w:color w:val="auto"/>
                <w:spacing w:val="-1"/>
                <w:kern w:val="2"/>
                <w:sz w:val="24"/>
                <w:szCs w:val="24"/>
                <w:highlight w:val="none"/>
                <w:lang w:val="zh-CN" w:eastAsia="zh-CN"/>
              </w:rPr>
            </w:pPr>
            <w:r>
              <w:rPr>
                <w:rFonts w:hint="eastAsia" w:ascii="宋体" w:hAnsi="宋体" w:eastAsia="宋体" w:cs="宋体"/>
                <w:color w:val="auto"/>
                <w:spacing w:val="-1"/>
                <w:kern w:val="2"/>
                <w:sz w:val="24"/>
                <w:szCs w:val="24"/>
                <w:highlight w:val="none"/>
                <w:lang w:val="en-US" w:eastAsia="zh-CN"/>
              </w:rPr>
              <w:t>④内容描述不完整、不合理的或未提供得0分。</w:t>
            </w:r>
          </w:p>
        </w:tc>
      </w:tr>
      <w:tr w14:paraId="64EE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2" w:type="dxa"/>
            <w:vMerge w:val="continue"/>
            <w:tcBorders>
              <w:left w:val="single" w:color="auto" w:sz="4" w:space="0"/>
              <w:bottom w:val="single" w:color="auto" w:sz="4" w:space="0"/>
              <w:right w:val="single" w:color="auto" w:sz="4" w:space="0"/>
            </w:tcBorders>
            <w:vAlign w:val="center"/>
          </w:tcPr>
          <w:p w14:paraId="0D4AC377">
            <w:pPr>
              <w:keepNext w:val="0"/>
              <w:keepLines w:val="0"/>
              <w:pageBreakBefore w:val="0"/>
              <w:widowControl/>
              <w:wordWrap/>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24"/>
                <w:szCs w:val="24"/>
                <w:highlight w:val="none"/>
              </w:rPr>
            </w:pPr>
          </w:p>
        </w:tc>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14:paraId="0F1BE873">
            <w:pPr>
              <w:keepNext w:val="0"/>
              <w:keepLines w:val="0"/>
              <w:pageBreakBefore w:val="0"/>
              <w:widowControl/>
              <w:wordWrap/>
              <w:topLinePunct w:val="0"/>
              <w:autoSpaceDE/>
              <w:autoSpaceDN/>
              <w:bidi w:val="0"/>
              <w:adjustRightInd/>
              <w:snapToGrid/>
              <w:spacing w:after="0" w:line="240" w:lineRule="auto"/>
              <w:jc w:val="center"/>
              <w:textAlignment w:val="auto"/>
              <w:rPr>
                <w:rFonts w:hint="default"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响应承诺</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7F4255A">
            <w:pPr>
              <w:keepNext w:val="0"/>
              <w:keepLines w:val="0"/>
              <w:pageBreakBefore w:val="0"/>
              <w:widowControl/>
              <w:wordWrap/>
              <w:topLinePunct w:val="0"/>
              <w:autoSpaceDE/>
              <w:autoSpaceDN/>
              <w:bidi w:val="0"/>
              <w:adjustRightInd/>
              <w:snapToGrid/>
              <w:spacing w:after="0" w:line="240" w:lineRule="auto"/>
              <w:jc w:val="center"/>
              <w:textAlignment w:val="auto"/>
              <w:rPr>
                <w:rFonts w:hint="default" w:ascii="宋体" w:hAnsi="宋体" w:eastAsia="宋体" w:cs="宋体"/>
                <w:color w:val="auto"/>
                <w:spacing w:val="-1"/>
                <w:kern w:val="2"/>
                <w:sz w:val="24"/>
                <w:szCs w:val="24"/>
                <w:highlight w:val="none"/>
                <w:lang w:val="en-US" w:eastAsia="zh-CN"/>
              </w:rPr>
            </w:pPr>
            <w:r>
              <w:rPr>
                <w:rFonts w:hint="default" w:ascii="宋体" w:hAnsi="宋体" w:eastAsia="宋体" w:cs="宋体"/>
                <w:color w:val="auto"/>
                <w:spacing w:val="-1"/>
                <w:kern w:val="2"/>
                <w:sz w:val="24"/>
                <w:szCs w:val="24"/>
                <w:highlight w:val="none"/>
                <w:lang w:val="en-US" w:eastAsia="zh-CN"/>
              </w:rPr>
              <w:t>4</w:t>
            </w:r>
          </w:p>
        </w:tc>
        <w:tc>
          <w:tcPr>
            <w:tcW w:w="7282" w:type="dxa"/>
            <w:tcBorders>
              <w:top w:val="single" w:color="auto" w:sz="4" w:space="0"/>
              <w:left w:val="single" w:color="auto" w:sz="4" w:space="0"/>
              <w:bottom w:val="single" w:color="auto" w:sz="4" w:space="0"/>
              <w:right w:val="single" w:color="auto" w:sz="4" w:space="0"/>
            </w:tcBorders>
            <w:shd w:val="clear" w:color="auto" w:fill="auto"/>
            <w:vAlign w:val="center"/>
          </w:tcPr>
          <w:p w14:paraId="2D520C79">
            <w:pPr>
              <w:keepNext w:val="0"/>
              <w:keepLines w:val="0"/>
              <w:pageBreakBefore w:val="0"/>
              <w:widowControl/>
              <w:wordWrap/>
              <w:topLinePunct w:val="0"/>
              <w:autoSpaceDE/>
              <w:autoSpaceDN/>
              <w:bidi w:val="0"/>
              <w:adjustRightInd/>
              <w:snapToGrid/>
              <w:spacing w:after="0" w:line="240" w:lineRule="auto"/>
              <w:jc w:val="left"/>
              <w:textAlignment w:val="auto"/>
              <w:rPr>
                <w:rFonts w:hint="default"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1.评审内容：根据供应商依据本项目内容制定的承诺响应时间、响应对策进行评分，最高得4分。</w:t>
            </w:r>
          </w:p>
          <w:p w14:paraId="7E6A9310">
            <w:pPr>
              <w:keepNext w:val="0"/>
              <w:keepLines w:val="0"/>
              <w:pageBreakBefore w:val="0"/>
              <w:widowControl/>
              <w:wordWrap/>
              <w:topLinePunct w:val="0"/>
              <w:autoSpaceDE/>
              <w:autoSpaceDN/>
              <w:bidi w:val="0"/>
              <w:adjustRightInd/>
              <w:snapToGrid/>
              <w:spacing w:after="0" w:line="240" w:lineRule="auto"/>
              <w:jc w:val="left"/>
              <w:textAlignment w:val="auto"/>
              <w:rPr>
                <w:rFonts w:hint="default"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2.评审标准：</w:t>
            </w:r>
          </w:p>
          <w:p w14:paraId="15C4C3B0">
            <w:pPr>
              <w:keepNext w:val="0"/>
              <w:keepLines w:val="0"/>
              <w:pageBreakBefore w:val="0"/>
              <w:widowControl/>
              <w:wordWrap/>
              <w:topLinePunct w:val="0"/>
              <w:autoSpaceDE/>
              <w:autoSpaceDN/>
              <w:bidi w:val="0"/>
              <w:adjustRightInd/>
              <w:snapToGrid/>
              <w:spacing w:after="0" w:line="240" w:lineRule="auto"/>
              <w:jc w:val="left"/>
              <w:textAlignment w:val="auto"/>
              <w:rPr>
                <w:rFonts w:hint="default"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①承诺齐全、详细，保障全面，制定的措施合理、可行的得4分；</w:t>
            </w:r>
          </w:p>
          <w:p w14:paraId="6A3709F9">
            <w:pPr>
              <w:keepNext w:val="0"/>
              <w:keepLines w:val="0"/>
              <w:pageBreakBefore w:val="0"/>
              <w:widowControl/>
              <w:wordWrap/>
              <w:topLinePunct w:val="0"/>
              <w:autoSpaceDE/>
              <w:autoSpaceDN/>
              <w:bidi w:val="0"/>
              <w:adjustRightInd/>
              <w:snapToGrid/>
              <w:spacing w:after="0" w:line="240" w:lineRule="auto"/>
              <w:jc w:val="left"/>
              <w:textAlignment w:val="auto"/>
              <w:rPr>
                <w:rFonts w:hint="default"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②承诺基本齐全、详细，措施有一定的可行性得</w:t>
            </w:r>
            <w:r>
              <w:rPr>
                <w:rFonts w:hint="default" w:ascii="宋体" w:hAnsi="宋体" w:eastAsia="宋体" w:cs="宋体"/>
                <w:color w:val="auto"/>
                <w:spacing w:val="-1"/>
                <w:kern w:val="2"/>
                <w:sz w:val="24"/>
                <w:szCs w:val="24"/>
                <w:highlight w:val="none"/>
                <w:lang w:val="en-US" w:eastAsia="zh-CN"/>
              </w:rPr>
              <w:t>2</w:t>
            </w:r>
            <w:r>
              <w:rPr>
                <w:rFonts w:hint="eastAsia" w:ascii="宋体" w:hAnsi="宋体" w:eastAsia="宋体" w:cs="宋体"/>
                <w:color w:val="auto"/>
                <w:spacing w:val="-1"/>
                <w:kern w:val="2"/>
                <w:sz w:val="24"/>
                <w:szCs w:val="24"/>
                <w:highlight w:val="none"/>
                <w:lang w:val="en-US" w:eastAsia="zh-CN"/>
              </w:rPr>
              <w:t>分；</w:t>
            </w:r>
          </w:p>
          <w:p w14:paraId="63140114">
            <w:pPr>
              <w:keepNext w:val="0"/>
              <w:keepLines w:val="0"/>
              <w:pageBreakBefore w:val="0"/>
              <w:widowControl/>
              <w:wordWrap/>
              <w:topLinePunct w:val="0"/>
              <w:autoSpaceDE/>
              <w:autoSpaceDN/>
              <w:bidi w:val="0"/>
              <w:adjustRightInd/>
              <w:snapToGrid/>
              <w:spacing w:after="0" w:line="240" w:lineRule="auto"/>
              <w:jc w:val="left"/>
              <w:textAlignment w:val="auto"/>
              <w:rPr>
                <w:rFonts w:hint="default" w:ascii="宋体" w:hAnsi="宋体" w:eastAsia="宋体" w:cs="宋体"/>
                <w:color w:val="auto"/>
                <w:spacing w:val="-1"/>
                <w:kern w:val="2"/>
                <w:sz w:val="24"/>
                <w:szCs w:val="24"/>
                <w:highlight w:val="none"/>
                <w:lang w:val="en-US" w:eastAsia="zh-CN"/>
              </w:rPr>
            </w:pPr>
            <w:r>
              <w:rPr>
                <w:rFonts w:hint="eastAsia" w:ascii="宋体" w:hAnsi="宋体" w:eastAsia="宋体" w:cs="宋体"/>
                <w:color w:val="auto"/>
                <w:spacing w:val="-1"/>
                <w:kern w:val="2"/>
                <w:sz w:val="24"/>
                <w:szCs w:val="24"/>
                <w:highlight w:val="none"/>
                <w:lang w:val="en-US" w:eastAsia="zh-CN"/>
              </w:rPr>
              <w:t>③承诺不严谨，措施缺乏可行性得</w:t>
            </w:r>
            <w:r>
              <w:rPr>
                <w:rFonts w:hint="default" w:ascii="宋体" w:hAnsi="宋体" w:eastAsia="宋体" w:cs="宋体"/>
                <w:color w:val="auto"/>
                <w:spacing w:val="-1"/>
                <w:kern w:val="2"/>
                <w:sz w:val="24"/>
                <w:szCs w:val="24"/>
                <w:highlight w:val="none"/>
                <w:lang w:val="en-US" w:eastAsia="zh-CN"/>
              </w:rPr>
              <w:t>1</w:t>
            </w:r>
            <w:r>
              <w:rPr>
                <w:rFonts w:hint="eastAsia" w:ascii="宋体" w:hAnsi="宋体" w:eastAsia="宋体" w:cs="宋体"/>
                <w:color w:val="auto"/>
                <w:spacing w:val="-1"/>
                <w:kern w:val="2"/>
                <w:sz w:val="24"/>
                <w:szCs w:val="24"/>
                <w:highlight w:val="none"/>
                <w:lang w:val="en-US" w:eastAsia="zh-CN"/>
              </w:rPr>
              <w:t>分；</w:t>
            </w:r>
          </w:p>
          <w:p w14:paraId="04635FC4">
            <w:pPr>
              <w:keepNext w:val="0"/>
              <w:keepLines w:val="0"/>
              <w:pageBreakBefore w:val="0"/>
              <w:widowControl/>
              <w:wordWrap/>
              <w:topLinePunct w:val="0"/>
              <w:autoSpaceDE/>
              <w:autoSpaceDN/>
              <w:bidi w:val="0"/>
              <w:adjustRightInd/>
              <w:snapToGrid/>
              <w:spacing w:after="0" w:line="240" w:lineRule="auto"/>
              <w:jc w:val="left"/>
              <w:textAlignment w:val="auto"/>
              <w:rPr>
                <w:rFonts w:hint="eastAsia" w:ascii="宋体" w:hAnsi="宋体" w:eastAsia="宋体" w:cs="宋体"/>
                <w:color w:val="auto"/>
                <w:spacing w:val="-1"/>
                <w:kern w:val="2"/>
                <w:sz w:val="24"/>
                <w:szCs w:val="24"/>
                <w:highlight w:val="none"/>
                <w:lang w:val="zh-CN" w:eastAsia="zh-CN"/>
              </w:rPr>
            </w:pPr>
            <w:r>
              <w:rPr>
                <w:rFonts w:hint="eastAsia" w:ascii="宋体" w:hAnsi="宋体" w:eastAsia="宋体" w:cs="宋体"/>
                <w:color w:val="auto"/>
                <w:spacing w:val="-1"/>
                <w:kern w:val="2"/>
                <w:sz w:val="24"/>
                <w:szCs w:val="24"/>
                <w:highlight w:val="none"/>
                <w:lang w:val="en-US" w:eastAsia="zh-CN"/>
              </w:rPr>
              <w:t>④不完整、不合理的或未提供得0分。</w:t>
            </w:r>
          </w:p>
        </w:tc>
      </w:tr>
    </w:tbl>
    <w:p w14:paraId="68DDC878">
      <w:pPr>
        <w:rPr>
          <w:color w:val="auto"/>
          <w:highlight w:val="none"/>
        </w:rPr>
      </w:pPr>
    </w:p>
    <w:p w14:paraId="57A46C31">
      <w:pPr>
        <w:rPr>
          <w:rFonts w:hint="eastAsia" w:ascii="Cambria" w:hAnsi="Cambria"/>
          <w:b/>
          <w:bCs/>
          <w:color w:val="auto"/>
          <w:sz w:val="30"/>
          <w:szCs w:val="28"/>
          <w:highlight w:val="none"/>
        </w:rPr>
      </w:pPr>
      <w:bookmarkStart w:id="137" w:name="_Toc141260232"/>
      <w:r>
        <w:rPr>
          <w:rFonts w:hint="eastAsia" w:ascii="Cambria" w:hAnsi="Cambria"/>
          <w:b/>
          <w:bCs/>
          <w:color w:val="auto"/>
          <w:sz w:val="30"/>
          <w:szCs w:val="28"/>
          <w:highlight w:val="none"/>
        </w:rPr>
        <w:br w:type="page"/>
      </w:r>
    </w:p>
    <w:p w14:paraId="482F3383">
      <w:pPr>
        <w:keepNext/>
        <w:keepLines/>
        <w:widowControl w:val="0"/>
        <w:adjustRightInd w:val="0"/>
        <w:snapToGrid w:val="0"/>
        <w:spacing w:after="0"/>
        <w:jc w:val="center"/>
        <w:textAlignment w:val="baseline"/>
        <w:outlineLvl w:val="0"/>
        <w:rPr>
          <w:rFonts w:ascii="Cambria" w:hAnsi="Cambria"/>
          <w:b/>
          <w:bCs/>
          <w:color w:val="auto"/>
          <w:sz w:val="30"/>
          <w:szCs w:val="28"/>
          <w:highlight w:val="none"/>
        </w:rPr>
      </w:pPr>
      <w:r>
        <w:rPr>
          <w:rFonts w:hint="eastAsia" w:ascii="Cambria" w:hAnsi="Cambria"/>
          <w:b/>
          <w:bCs/>
          <w:color w:val="auto"/>
          <w:sz w:val="30"/>
          <w:szCs w:val="28"/>
          <w:highlight w:val="none"/>
        </w:rPr>
        <w:t>第五章</w:t>
      </w:r>
      <w:r>
        <w:rPr>
          <w:rFonts w:ascii="Cambria" w:hAnsi="Cambria"/>
          <w:b/>
          <w:bCs/>
          <w:color w:val="auto"/>
          <w:sz w:val="30"/>
          <w:szCs w:val="28"/>
          <w:highlight w:val="none"/>
        </w:rPr>
        <w:t xml:space="preserve"> </w:t>
      </w:r>
      <w:r>
        <w:rPr>
          <w:rFonts w:hint="eastAsia" w:ascii="Cambria" w:hAnsi="Cambria"/>
          <w:b/>
          <w:bCs/>
          <w:color w:val="auto"/>
          <w:sz w:val="30"/>
          <w:szCs w:val="28"/>
          <w:highlight w:val="none"/>
        </w:rPr>
        <w:t>合同书格式</w:t>
      </w:r>
      <w:bookmarkEnd w:id="129"/>
      <w:bookmarkEnd w:id="130"/>
      <w:bookmarkEnd w:id="131"/>
      <w:bookmarkEnd w:id="132"/>
      <w:bookmarkEnd w:id="133"/>
      <w:bookmarkEnd w:id="134"/>
      <w:bookmarkEnd w:id="135"/>
      <w:bookmarkEnd w:id="137"/>
    </w:p>
    <w:p w14:paraId="48CDBDB8">
      <w:pPr>
        <w:widowControl w:val="0"/>
        <w:spacing w:after="0" w:line="360" w:lineRule="auto"/>
        <w:jc w:val="both"/>
        <w:rPr>
          <w:rFonts w:ascii="Times New Roman" w:hAnsi="Times New Roman"/>
          <w:bCs/>
          <w:color w:val="auto"/>
          <w:kern w:val="2"/>
          <w:sz w:val="24"/>
          <w:szCs w:val="24"/>
          <w:highlight w:val="none"/>
        </w:rPr>
      </w:pPr>
      <w:r>
        <w:rPr>
          <w:rFonts w:hint="eastAsia" w:ascii="Times New Roman" w:hAnsi="Times New Roman"/>
          <w:color w:val="auto"/>
          <w:kern w:val="2"/>
          <w:sz w:val="24"/>
          <w:szCs w:val="24"/>
          <w:highlight w:val="none"/>
        </w:rPr>
        <w:t>（此合同书仅作为签订正式合同时参考，正式合同书不限于本参考格式的内容）</w:t>
      </w:r>
    </w:p>
    <w:p w14:paraId="17F42293">
      <w:pPr>
        <w:widowControl w:val="0"/>
        <w:wordWrap w:val="0"/>
        <w:spacing w:after="0" w:line="360" w:lineRule="auto"/>
        <w:ind w:firstLine="420"/>
        <w:rPr>
          <w:rFonts w:ascii="Times New Roman" w:hAnsi="Times New Roman"/>
          <w:bCs/>
          <w:color w:val="auto"/>
          <w:kern w:val="2"/>
          <w:sz w:val="28"/>
          <w:szCs w:val="28"/>
          <w:highlight w:val="none"/>
        </w:rPr>
      </w:pPr>
      <w:r>
        <w:rPr>
          <w:rFonts w:hint="eastAsia" w:ascii="Times New Roman" w:hAnsi="Times New Roman" w:cs="Helvetica"/>
          <w:bCs/>
          <w:color w:val="auto"/>
          <w:kern w:val="2"/>
          <w:sz w:val="24"/>
          <w:szCs w:val="24"/>
          <w:highlight w:val="none"/>
          <w:lang w:val="zh-CN"/>
        </w:rPr>
        <w:t>合同编号：</w:t>
      </w:r>
      <w:r>
        <w:rPr>
          <w:rFonts w:hint="eastAsia" w:ascii="Times New Roman" w:hAnsi="Times New Roman" w:cs="Helvetica"/>
          <w:bCs/>
          <w:color w:val="auto"/>
          <w:kern w:val="2"/>
          <w:sz w:val="24"/>
          <w:szCs w:val="24"/>
          <w:highlight w:val="none"/>
          <w:u w:val="single"/>
        </w:rPr>
        <w:t xml:space="preserve">              </w:t>
      </w:r>
    </w:p>
    <w:p w14:paraId="0BDF1601">
      <w:pPr>
        <w:widowControl w:val="0"/>
        <w:wordWrap w:val="0"/>
        <w:spacing w:after="0" w:line="360" w:lineRule="auto"/>
        <w:ind w:firstLine="720"/>
        <w:jc w:val="center"/>
        <w:rPr>
          <w:rFonts w:ascii="Times New Roman" w:hAnsi="Times New Roman"/>
          <w:bCs/>
          <w:color w:val="auto"/>
          <w:kern w:val="2"/>
          <w:sz w:val="36"/>
          <w:szCs w:val="36"/>
          <w:highlight w:val="none"/>
        </w:rPr>
      </w:pPr>
    </w:p>
    <w:p w14:paraId="085BEB79">
      <w:pPr>
        <w:widowControl w:val="0"/>
        <w:wordWrap w:val="0"/>
        <w:spacing w:after="0" w:line="360" w:lineRule="auto"/>
        <w:ind w:firstLine="1446"/>
        <w:jc w:val="center"/>
        <w:rPr>
          <w:rFonts w:ascii="Times New Roman" w:hAnsi="Times New Roman"/>
          <w:b/>
          <w:bCs/>
          <w:color w:val="auto"/>
          <w:kern w:val="2"/>
          <w:sz w:val="72"/>
          <w:szCs w:val="72"/>
          <w:highlight w:val="none"/>
        </w:rPr>
      </w:pPr>
      <w:r>
        <w:rPr>
          <w:rFonts w:hint="eastAsia" w:ascii="Times New Roman" w:hAnsi="Times New Roman"/>
          <w:b/>
          <w:bCs/>
          <w:color w:val="auto"/>
          <w:kern w:val="2"/>
          <w:sz w:val="72"/>
          <w:szCs w:val="72"/>
          <w:highlight w:val="none"/>
        </w:rPr>
        <w:t>合   同   书</w:t>
      </w:r>
    </w:p>
    <w:p w14:paraId="496542E5">
      <w:pPr>
        <w:widowControl w:val="0"/>
        <w:wordWrap w:val="0"/>
        <w:spacing w:after="0" w:line="360" w:lineRule="auto"/>
        <w:jc w:val="center"/>
        <w:rPr>
          <w:rFonts w:ascii="Times New Roman" w:hAnsi="Times New Roman"/>
          <w:bCs/>
          <w:color w:val="auto"/>
          <w:kern w:val="2"/>
          <w:sz w:val="10"/>
          <w:szCs w:val="10"/>
          <w:highlight w:val="none"/>
        </w:rPr>
      </w:pPr>
    </w:p>
    <w:p w14:paraId="4CC41F09">
      <w:pPr>
        <w:widowControl w:val="0"/>
        <w:wordWrap w:val="0"/>
        <w:spacing w:after="0" w:line="360" w:lineRule="auto"/>
        <w:ind w:firstLine="420"/>
        <w:jc w:val="both"/>
        <w:rPr>
          <w:rFonts w:ascii="Times New Roman" w:hAnsi="Times New Roman"/>
          <w:color w:val="auto"/>
          <w:kern w:val="2"/>
          <w:sz w:val="21"/>
          <w:highlight w:val="none"/>
        </w:rPr>
      </w:pPr>
    </w:p>
    <w:p w14:paraId="1AE77FED">
      <w:pPr>
        <w:widowControl w:val="0"/>
        <w:wordWrap w:val="0"/>
        <w:spacing w:after="0" w:line="360" w:lineRule="auto"/>
        <w:ind w:firstLine="420"/>
        <w:jc w:val="both"/>
        <w:rPr>
          <w:rFonts w:ascii="Times New Roman" w:hAnsi="Times New Roman"/>
          <w:color w:val="auto"/>
          <w:kern w:val="2"/>
          <w:sz w:val="21"/>
          <w:highlight w:val="none"/>
        </w:rPr>
      </w:pPr>
    </w:p>
    <w:p w14:paraId="3E2370E7">
      <w:pPr>
        <w:widowControl w:val="0"/>
        <w:spacing w:before="78" w:beforeLines="25" w:after="0" w:line="360" w:lineRule="auto"/>
        <w:ind w:firstLine="562" w:firstLineChars="200"/>
        <w:jc w:val="both"/>
        <w:rPr>
          <w:rFonts w:ascii="Times New Roman" w:hAnsi="Times New Roman" w:cs="Helvetica"/>
          <w:color w:val="auto"/>
          <w:kern w:val="2"/>
          <w:sz w:val="28"/>
          <w:szCs w:val="28"/>
          <w:highlight w:val="none"/>
          <w:u w:val="single"/>
          <w:lang w:val="zh-CN"/>
        </w:rPr>
      </w:pPr>
      <w:r>
        <w:rPr>
          <w:rFonts w:hint="eastAsia" w:ascii="Times New Roman" w:hAnsi="Times New Roman" w:cs="Helvetica"/>
          <w:b/>
          <w:color w:val="auto"/>
          <w:kern w:val="2"/>
          <w:sz w:val="28"/>
          <w:szCs w:val="28"/>
          <w:highlight w:val="none"/>
          <w:lang w:val="zh-CN"/>
        </w:rPr>
        <w:t>项目名称：</w:t>
      </w:r>
      <w:r>
        <w:rPr>
          <w:rFonts w:hint="eastAsia" w:ascii="Times New Roman" w:hAnsi="Times New Roman" w:cs="Helvetica"/>
          <w:color w:val="auto"/>
          <w:kern w:val="2"/>
          <w:sz w:val="28"/>
          <w:szCs w:val="28"/>
          <w:highlight w:val="none"/>
          <w:u w:val="single"/>
          <w:lang w:val="zh-CN"/>
        </w:rPr>
        <w:t xml:space="preserve">                                             </w:t>
      </w:r>
    </w:p>
    <w:p w14:paraId="70AF2488">
      <w:pPr>
        <w:widowControl w:val="0"/>
        <w:spacing w:before="78" w:beforeLines="25" w:after="0" w:line="360" w:lineRule="auto"/>
        <w:ind w:firstLine="562" w:firstLineChars="200"/>
        <w:jc w:val="both"/>
        <w:rPr>
          <w:rFonts w:ascii="Times New Roman" w:hAnsi="Times New Roman" w:cs="Helvetica"/>
          <w:b/>
          <w:color w:val="auto"/>
          <w:kern w:val="2"/>
          <w:sz w:val="28"/>
          <w:szCs w:val="28"/>
          <w:highlight w:val="none"/>
          <w:lang w:val="zh-CN"/>
        </w:rPr>
      </w:pPr>
    </w:p>
    <w:p w14:paraId="0A1974B7">
      <w:pPr>
        <w:widowControl w:val="0"/>
        <w:spacing w:before="78" w:beforeLines="25" w:after="0" w:line="360" w:lineRule="auto"/>
        <w:ind w:firstLine="562" w:firstLineChars="200"/>
        <w:jc w:val="both"/>
        <w:rPr>
          <w:rFonts w:ascii="Times New Roman" w:hAnsi="Times New Roman" w:cs="Helvetica"/>
          <w:bCs/>
          <w:color w:val="auto"/>
          <w:kern w:val="2"/>
          <w:sz w:val="28"/>
          <w:szCs w:val="28"/>
          <w:highlight w:val="none"/>
          <w:u w:val="single"/>
          <w:lang w:val="zh-CN"/>
        </w:rPr>
      </w:pPr>
      <w:r>
        <w:rPr>
          <w:rFonts w:hint="eastAsia" w:ascii="Times New Roman" w:hAnsi="Times New Roman" w:cs="Helvetica"/>
          <w:b/>
          <w:color w:val="auto"/>
          <w:kern w:val="2"/>
          <w:sz w:val="28"/>
          <w:szCs w:val="28"/>
          <w:highlight w:val="none"/>
          <w:lang w:val="zh-CN"/>
        </w:rPr>
        <w:t>甲方（采购人）：</w:t>
      </w:r>
      <w:r>
        <w:rPr>
          <w:rFonts w:hint="eastAsia" w:ascii="Times New Roman" w:hAnsi="Times New Roman"/>
          <w:bCs/>
          <w:color w:val="auto"/>
          <w:kern w:val="2"/>
          <w:sz w:val="28"/>
          <w:szCs w:val="28"/>
          <w:highlight w:val="none"/>
          <w:u w:val="single"/>
        </w:rPr>
        <w:t xml:space="preserve">                                  </w:t>
      </w:r>
      <w:r>
        <w:rPr>
          <w:rFonts w:hint="eastAsia" w:ascii="Times New Roman" w:hAnsi="Times New Roman" w:cs="Helvetica"/>
          <w:bCs/>
          <w:color w:val="auto"/>
          <w:kern w:val="2"/>
          <w:sz w:val="28"/>
          <w:szCs w:val="28"/>
          <w:highlight w:val="none"/>
          <w:u w:val="single"/>
          <w:lang w:val="zh-CN"/>
        </w:rPr>
        <w:t xml:space="preserve">    </w:t>
      </w:r>
    </w:p>
    <w:p w14:paraId="0D9F34F9">
      <w:pPr>
        <w:widowControl w:val="0"/>
        <w:spacing w:before="78" w:beforeLines="25" w:after="0" w:line="360" w:lineRule="auto"/>
        <w:ind w:firstLine="562" w:firstLineChars="200"/>
        <w:jc w:val="both"/>
        <w:rPr>
          <w:rFonts w:ascii="Times New Roman" w:hAnsi="Times New Roman"/>
          <w:b/>
          <w:color w:val="auto"/>
          <w:kern w:val="2"/>
          <w:sz w:val="28"/>
          <w:szCs w:val="28"/>
          <w:highlight w:val="none"/>
          <w:u w:val="single"/>
        </w:rPr>
      </w:pPr>
      <w:r>
        <w:rPr>
          <w:rFonts w:hint="eastAsia" w:ascii="Times New Roman" w:hAnsi="Times New Roman" w:cs="Helvetica"/>
          <w:b/>
          <w:color w:val="auto"/>
          <w:kern w:val="2"/>
          <w:sz w:val="28"/>
          <w:szCs w:val="28"/>
          <w:highlight w:val="none"/>
          <w:lang w:val="zh-CN"/>
        </w:rPr>
        <w:t>乙方（成交供应商）：</w:t>
      </w:r>
      <w:r>
        <w:rPr>
          <w:rFonts w:hint="eastAsia" w:ascii="Times New Roman" w:hAnsi="Times New Roman"/>
          <w:color w:val="auto"/>
          <w:kern w:val="2"/>
          <w:sz w:val="28"/>
          <w:szCs w:val="28"/>
          <w:highlight w:val="none"/>
          <w:u w:val="single"/>
        </w:rPr>
        <w:t xml:space="preserve">                                  </w:t>
      </w:r>
    </w:p>
    <w:p w14:paraId="2FBFF98B">
      <w:pPr>
        <w:widowControl w:val="0"/>
        <w:spacing w:before="78" w:beforeLines="25" w:after="0" w:line="360" w:lineRule="auto"/>
        <w:ind w:firstLine="562" w:firstLineChars="200"/>
        <w:jc w:val="both"/>
        <w:rPr>
          <w:rFonts w:ascii="Times New Roman" w:hAnsi="Times New Roman"/>
          <w:b/>
          <w:color w:val="auto"/>
          <w:kern w:val="2"/>
          <w:sz w:val="28"/>
          <w:szCs w:val="28"/>
          <w:highlight w:val="none"/>
          <w:u w:val="single"/>
        </w:rPr>
      </w:pPr>
    </w:p>
    <w:p w14:paraId="72D50F1A">
      <w:pPr>
        <w:widowControl w:val="0"/>
        <w:spacing w:before="78" w:beforeLines="25" w:after="0" w:line="360" w:lineRule="auto"/>
        <w:ind w:firstLine="562" w:firstLineChars="200"/>
        <w:jc w:val="both"/>
        <w:rPr>
          <w:rFonts w:ascii="Times New Roman" w:hAnsi="Times New Roman"/>
          <w:color w:val="auto"/>
          <w:kern w:val="2"/>
          <w:sz w:val="28"/>
          <w:szCs w:val="28"/>
          <w:highlight w:val="none"/>
          <w:u w:val="single"/>
        </w:rPr>
      </w:pPr>
      <w:r>
        <w:rPr>
          <w:rFonts w:hint="eastAsia" w:ascii="Times New Roman" w:hAnsi="Times New Roman" w:cs="Helvetica"/>
          <w:b/>
          <w:color w:val="auto"/>
          <w:kern w:val="2"/>
          <w:sz w:val="28"/>
          <w:szCs w:val="28"/>
          <w:highlight w:val="none"/>
          <w:lang w:val="zh-CN"/>
        </w:rPr>
        <w:t>签订地点：</w:t>
      </w:r>
      <w:r>
        <w:rPr>
          <w:rFonts w:hint="eastAsia" w:ascii="Times New Roman" w:hAnsi="Times New Roman" w:cs="Helvetica"/>
          <w:color w:val="auto"/>
          <w:kern w:val="2"/>
          <w:sz w:val="28"/>
          <w:szCs w:val="28"/>
          <w:highlight w:val="none"/>
          <w:u w:val="single"/>
          <w:lang w:val="zh-CN"/>
        </w:rPr>
        <w:t xml:space="preserve">                                               </w:t>
      </w:r>
    </w:p>
    <w:p w14:paraId="72B14ED4">
      <w:pPr>
        <w:widowControl w:val="0"/>
        <w:spacing w:before="78" w:beforeLines="25" w:after="0" w:line="360" w:lineRule="auto"/>
        <w:ind w:firstLine="562" w:firstLineChars="200"/>
        <w:jc w:val="both"/>
        <w:rPr>
          <w:rFonts w:ascii="Times New Roman" w:hAnsi="Times New Roman"/>
          <w:b/>
          <w:color w:val="auto"/>
          <w:kern w:val="2"/>
          <w:sz w:val="21"/>
          <w:szCs w:val="24"/>
          <w:highlight w:val="none"/>
        </w:rPr>
      </w:pPr>
      <w:r>
        <w:rPr>
          <w:rFonts w:hint="eastAsia" w:ascii="Times New Roman" w:hAnsi="Times New Roman" w:cs="Helvetica"/>
          <w:b/>
          <w:color w:val="auto"/>
          <w:kern w:val="2"/>
          <w:sz w:val="28"/>
          <w:szCs w:val="28"/>
          <w:highlight w:val="none"/>
          <w:lang w:val="zh-CN"/>
        </w:rPr>
        <w:t>签订日期</w:t>
      </w:r>
      <w:r>
        <w:rPr>
          <w:rFonts w:hint="eastAsia" w:ascii="Times New Roman" w:hAnsi="Times New Roman"/>
          <w:b/>
          <w:color w:val="auto"/>
          <w:kern w:val="2"/>
          <w:sz w:val="21"/>
          <w:szCs w:val="24"/>
          <w:highlight w:val="none"/>
        </w:rPr>
        <w:t>：</w:t>
      </w:r>
      <w:r>
        <w:rPr>
          <w:rFonts w:hint="eastAsia" w:ascii="Times New Roman" w:hAnsi="Times New Roman"/>
          <w:color w:val="auto"/>
          <w:kern w:val="2"/>
          <w:sz w:val="21"/>
          <w:szCs w:val="24"/>
          <w:highlight w:val="none"/>
          <w:u w:val="single"/>
        </w:rPr>
        <w:t xml:space="preserve">             </w:t>
      </w:r>
      <w:r>
        <w:rPr>
          <w:rFonts w:hint="eastAsia" w:ascii="Times New Roman" w:hAnsi="Times New Roman"/>
          <w:color w:val="auto"/>
          <w:kern w:val="2"/>
          <w:sz w:val="24"/>
          <w:szCs w:val="32"/>
          <w:highlight w:val="none"/>
          <w:u w:val="single"/>
        </w:rPr>
        <w:t xml:space="preserve">   </w:t>
      </w:r>
      <w:r>
        <w:rPr>
          <w:rFonts w:hint="eastAsia" w:ascii="Times New Roman" w:hAnsi="Times New Roman"/>
          <w:color w:val="auto"/>
          <w:kern w:val="2"/>
          <w:sz w:val="24"/>
          <w:szCs w:val="32"/>
          <w:highlight w:val="none"/>
        </w:rPr>
        <w:t>年</w:t>
      </w:r>
      <w:r>
        <w:rPr>
          <w:rFonts w:hint="eastAsia" w:ascii="Times New Roman" w:hAnsi="Times New Roman"/>
          <w:color w:val="auto"/>
          <w:kern w:val="2"/>
          <w:sz w:val="24"/>
          <w:szCs w:val="32"/>
          <w:highlight w:val="none"/>
          <w:u w:val="single"/>
        </w:rPr>
        <w:t xml:space="preserve">           </w:t>
      </w:r>
      <w:r>
        <w:rPr>
          <w:rFonts w:hint="eastAsia" w:ascii="Times New Roman" w:hAnsi="Times New Roman"/>
          <w:color w:val="auto"/>
          <w:kern w:val="2"/>
          <w:sz w:val="24"/>
          <w:szCs w:val="32"/>
          <w:highlight w:val="none"/>
        </w:rPr>
        <w:t>月</w:t>
      </w:r>
      <w:r>
        <w:rPr>
          <w:rFonts w:hint="eastAsia" w:ascii="Times New Roman" w:hAnsi="Times New Roman"/>
          <w:color w:val="auto"/>
          <w:kern w:val="2"/>
          <w:sz w:val="24"/>
          <w:szCs w:val="32"/>
          <w:highlight w:val="none"/>
          <w:u w:val="single"/>
        </w:rPr>
        <w:t xml:space="preserve">            </w:t>
      </w:r>
      <w:r>
        <w:rPr>
          <w:rFonts w:hint="eastAsia" w:ascii="Times New Roman" w:hAnsi="Times New Roman"/>
          <w:color w:val="auto"/>
          <w:kern w:val="2"/>
          <w:sz w:val="24"/>
          <w:szCs w:val="32"/>
          <w:highlight w:val="none"/>
        </w:rPr>
        <w:t>日</w:t>
      </w:r>
    </w:p>
    <w:p w14:paraId="172A1AEC">
      <w:pPr>
        <w:widowControl w:val="0"/>
        <w:spacing w:before="78" w:beforeLines="25" w:after="0" w:line="360" w:lineRule="auto"/>
        <w:ind w:firstLine="422" w:firstLineChars="200"/>
        <w:jc w:val="both"/>
        <w:rPr>
          <w:rFonts w:ascii="Times New Roman" w:hAnsi="Times New Roman"/>
          <w:b/>
          <w:color w:val="auto"/>
          <w:kern w:val="2"/>
          <w:sz w:val="21"/>
          <w:highlight w:val="none"/>
        </w:rPr>
      </w:pPr>
      <w:r>
        <w:rPr>
          <w:rFonts w:hint="eastAsia" w:ascii="Times New Roman" w:hAnsi="Times New Roman"/>
          <w:b/>
          <w:color w:val="auto"/>
          <w:kern w:val="2"/>
          <w:sz w:val="21"/>
          <w:highlight w:val="none"/>
        </w:rPr>
        <w:t xml:space="preserve">                                                 </w:t>
      </w:r>
    </w:p>
    <w:p w14:paraId="4557859C">
      <w:pPr>
        <w:wordWrap w:val="0"/>
        <w:spacing w:after="0" w:line="360" w:lineRule="auto"/>
        <w:ind w:firstLine="420"/>
        <w:rPr>
          <w:rFonts w:ascii="Times New Roman" w:hAnsi="Times New Roman" w:cs="宋体"/>
          <w:color w:val="auto"/>
          <w:kern w:val="2"/>
          <w:sz w:val="21"/>
          <w:szCs w:val="24"/>
          <w:highlight w:val="none"/>
        </w:rPr>
      </w:pPr>
      <w:r>
        <w:rPr>
          <w:rFonts w:ascii="Times New Roman" w:hAnsi="Times New Roman" w:cs="宋体"/>
          <w:color w:val="auto"/>
          <w:kern w:val="2"/>
          <w:sz w:val="21"/>
          <w:szCs w:val="24"/>
          <w:highlight w:val="none"/>
        </w:rPr>
        <w:br w:type="page"/>
      </w:r>
    </w:p>
    <w:p w14:paraId="5F7FEE1E">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甲乙双方本着平等自愿、协商一致、诚实守信的原则，依据《中华人民共和国劳动合同法》（以下简称《劳动合同法》）就劳务合作事宜，达成如下协议，共同全面履行</w:t>
      </w:r>
      <w:r>
        <w:rPr>
          <w:rFonts w:hint="eastAsia" w:ascii="宋体" w:hAnsi="宋体" w:eastAsia="宋体" w:cs="宋体"/>
          <w:color w:val="auto"/>
          <w:szCs w:val="21"/>
          <w:highlight w:val="none"/>
          <w:lang w:eastAsia="zh-CN"/>
        </w:rPr>
        <w:t>：</w:t>
      </w:r>
    </w:p>
    <w:p w14:paraId="6389C841">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33" w:firstLineChars="196"/>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第一条  总则</w:t>
      </w:r>
    </w:p>
    <w:p w14:paraId="19079C9F">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(一)定义：本协议中的甲方即接受派遣服务的用工单位，乙方即提供派遣服务的人力资源公司。“派遣员工”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下称派遣员工或员工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是指已由甲方确定认可并与乙方建立了劳动关系，被乙方派遣到甲方工作的员工。</w:t>
      </w:r>
    </w:p>
    <w:p w14:paraId="0759C27D">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（二）乙方根据甲方要求向甲方派遣劳务人员，为甲方提供劳务服务，岗位为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派遣期限为派遣员工与乙方的劳动合同期限，派遣员工合同期限不少于两年，入职时间、工资及社保福利详情见附件二、附件三。</w:t>
      </w:r>
    </w:p>
    <w:p w14:paraId="3EAE064C">
      <w:pPr>
        <w:keepNext w:val="0"/>
        <w:keepLines w:val="0"/>
        <w:pageBreakBefore w:val="0"/>
        <w:widowControl/>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（三）甲方在依法依规前提下可以对派遣员工的岗位进行必要的调整，协议期间岗位人数的增减由甲方根据岗位实际需要以书面形式通知乙方。</w:t>
      </w:r>
    </w:p>
    <w:p w14:paraId="2F81ECAD">
      <w:pPr>
        <w:keepNext w:val="0"/>
        <w:keepLines w:val="0"/>
        <w:pageBreakBefore w:val="0"/>
        <w:widowControl/>
        <w:tabs>
          <w:tab w:val="left" w:pos="426"/>
        </w:tabs>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（四）甲方承诺使用乙方派遣员工不会违反《劳动合同法》、《劳务派遣暂行规定》等相关法律法规的规定（如辅助岗位性质、派遣比例等），否则由此产生的责任由甲方承担。</w:t>
      </w:r>
    </w:p>
    <w:p w14:paraId="3256A028">
      <w:pPr>
        <w:keepNext w:val="0"/>
        <w:keepLines w:val="0"/>
        <w:pageBreakBefore w:val="0"/>
        <w:widowControl/>
        <w:tabs>
          <w:tab w:val="left" w:pos="426"/>
        </w:tabs>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五）费用：系指乙方按照本协议约定为甲方提供派遣服务，由甲方按照本协议约定支付给乙方的各项费用之总和，包括但不限于工资、社会保险（养老、医疗、工伤、生育、失业等五险）、公积金、管理服务费等。其中：工资系由乙方直接支付给员工的全部劳动报酬。工资总额的组成内容按照国家规定和本协议的约定确定。管理服务费系指根据甲乙双方在本协议中约定的，由甲方每月按所使用乙方派遣员工的人数和收费标准向乙方支付的服务费用。</w:t>
      </w:r>
    </w:p>
    <w:p w14:paraId="3B6F61B2">
      <w:pPr>
        <w:keepNext w:val="0"/>
        <w:keepLines w:val="0"/>
        <w:pageBreakBefore w:val="0"/>
        <w:widowControl/>
        <w:tabs>
          <w:tab w:val="left" w:pos="426"/>
        </w:tabs>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（六）服务内容详见附件。</w:t>
      </w:r>
    </w:p>
    <w:p w14:paraId="3697C003">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22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第二条  派遣员工的录用</w:t>
      </w:r>
    </w:p>
    <w:p w14:paraId="2B19D579">
      <w:pPr>
        <w:keepNext w:val="0"/>
        <w:keepLines w:val="0"/>
        <w:pageBreakBefore w:val="0"/>
        <w:widowControl/>
        <w:tabs>
          <w:tab w:val="left" w:pos="540"/>
        </w:tabs>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甲方确定录用名单后，甲方应对所需派遣员工的姓名、劳动合同期限、工资、派遣起始日期、派遣期限、试用期、实行的工时制度、社会保险基数、总费用金额、社会保险缴纳地点等内容，以书面或电子邮件形式向乙方发出《员工入职通知函》加以明确，并正式录用。</w:t>
      </w:r>
    </w:p>
    <w:p w14:paraId="0AE3524F">
      <w:pPr>
        <w:keepNext w:val="0"/>
        <w:keepLines w:val="0"/>
        <w:pageBreakBefore w:val="0"/>
        <w:widowControl/>
        <w:tabs>
          <w:tab w:val="left" w:pos="540"/>
        </w:tabs>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）在协议期内，甲方授权以下人员作为项目联系人，负责增减员申报、账单核对、日常联系等事务。若</w:t>
      </w:r>
      <w:r>
        <w:rPr>
          <w:rFonts w:hint="eastAsia" w:ascii="宋体" w:hAnsi="宋体" w:eastAsia="宋体" w:cs="宋体"/>
          <w:color w:val="auto"/>
          <w:szCs w:val="21"/>
          <w:highlight w:val="none"/>
          <w:lang w:val="en-US" w:eastAsia="zh-CN"/>
        </w:rPr>
        <w:t>联系</w:t>
      </w:r>
      <w:r>
        <w:rPr>
          <w:rFonts w:hint="eastAsia" w:ascii="宋体" w:hAnsi="宋体" w:eastAsia="宋体" w:cs="宋体"/>
          <w:color w:val="auto"/>
          <w:szCs w:val="21"/>
          <w:highlight w:val="none"/>
        </w:rPr>
        <w:t>人有变更，甲方应当书面通知乙方。</w:t>
      </w:r>
    </w:p>
    <w:p w14:paraId="1C0C0C63">
      <w:pPr>
        <w:keepNext w:val="0"/>
        <w:keepLines w:val="0"/>
        <w:pageBreakBefore w:val="0"/>
        <w:widowControl/>
        <w:tabs>
          <w:tab w:val="left" w:pos="540"/>
        </w:tabs>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联系人</w:t>
      </w:r>
      <w:r>
        <w:rPr>
          <w:rFonts w:hint="eastAsia" w:ascii="宋体" w:hAnsi="宋体" w:eastAsia="宋体" w:cs="宋体"/>
          <w:color w:val="auto"/>
          <w:szCs w:val="21"/>
          <w:highlight w:val="none"/>
        </w:rPr>
        <w:t>信息：</w:t>
      </w:r>
    </w:p>
    <w:p w14:paraId="3D2F2F3E">
      <w:pPr>
        <w:keepNext w:val="0"/>
        <w:keepLines w:val="0"/>
        <w:pageBreakBefore w:val="0"/>
        <w:widowControl/>
        <w:tabs>
          <w:tab w:val="left" w:pos="540"/>
        </w:tabs>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姓名：                         职务：   </w:t>
      </w:r>
    </w:p>
    <w:p w14:paraId="1AF8D53C">
      <w:pPr>
        <w:keepNext w:val="0"/>
        <w:keepLines w:val="0"/>
        <w:pageBreakBefore w:val="0"/>
        <w:widowControl/>
        <w:tabs>
          <w:tab w:val="left" w:pos="540"/>
        </w:tabs>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联系电话：                     EMAIL：  </w:t>
      </w:r>
    </w:p>
    <w:p w14:paraId="12BBE9E8">
      <w:pPr>
        <w:keepNext w:val="0"/>
        <w:keepLines w:val="0"/>
        <w:pageBreakBefore w:val="0"/>
        <w:widowControl/>
        <w:tabs>
          <w:tab w:val="left" w:pos="540"/>
        </w:tabs>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）甲方应配合乙方，要求新录用员工至少入职前十个工作日内办理符合用工要求的各项手续，以确保乙方在一个月内完成与员工签署劳动合同的工作并正式向甲方派遣人员。</w:t>
      </w:r>
    </w:p>
    <w:p w14:paraId="2ACD81EA">
      <w:pPr>
        <w:keepNext w:val="0"/>
        <w:keepLines w:val="0"/>
        <w:pageBreakBefore w:val="0"/>
        <w:widowControl/>
        <w:tabs>
          <w:tab w:val="left" w:pos="540"/>
        </w:tabs>
        <w:kinsoku/>
        <w:wordWrap/>
        <w:overflowPunct/>
        <w:topLinePunct w:val="0"/>
        <w:autoSpaceDE/>
        <w:autoSpaceDN/>
        <w:bidi w:val="0"/>
        <w:adjustRightInd/>
        <w:snapToGrid/>
        <w:spacing w:beforeAutospacing="0" w:after="0" w:afterAutospacing="0" w:line="440" w:lineRule="exact"/>
        <w:ind w:firstLine="433" w:firstLineChars="196"/>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第三条  派遣员工的退回</w:t>
      </w:r>
    </w:p>
    <w:p w14:paraId="70C6F2CB">
      <w:pPr>
        <w:keepNext w:val="0"/>
        <w:keepLines w:val="0"/>
        <w:pageBreakBefore w:val="0"/>
        <w:widowControl/>
        <w:tabs>
          <w:tab w:val="left" w:pos="426"/>
        </w:tabs>
        <w:kinsoku/>
        <w:wordWrap/>
        <w:overflowPunct/>
        <w:topLinePunct w:val="0"/>
        <w:autoSpaceDE/>
        <w:autoSpaceDN/>
        <w:bidi w:val="0"/>
        <w:adjustRightInd/>
        <w:snapToGrid/>
        <w:spacing w:beforeAutospacing="0" w:after="0" w:afterAutospacing="0" w:line="440" w:lineRule="exact"/>
        <w:ind w:firstLine="331" w:firstLineChars="15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 </w:t>
      </w:r>
      <w:r>
        <w:rPr>
          <w:rFonts w:hint="eastAsia" w:ascii="宋体" w:hAnsi="宋体" w:eastAsia="宋体" w:cs="宋体"/>
          <w:color w:val="auto"/>
          <w:szCs w:val="21"/>
          <w:highlight w:val="none"/>
        </w:rPr>
        <w:t>(一)在本协议期内，派遣员工有下列情况之一的，经甲乙双方确认后，甲方可将派遣员工退回乙方，乙方根据实际需要补充符合甲方岗位要求的人员。</w:t>
      </w:r>
    </w:p>
    <w:p w14:paraId="505BB13E">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1、在试用期间被证明不符合录用条件的；</w:t>
      </w:r>
    </w:p>
    <w:p w14:paraId="636D93F6">
      <w:pPr>
        <w:keepNext w:val="0"/>
        <w:keepLines w:val="0"/>
        <w:pageBreakBefore w:val="0"/>
        <w:widowControl/>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2、严重违反甲方的规章制度的；</w:t>
      </w:r>
    </w:p>
    <w:p w14:paraId="74F194C4">
      <w:pPr>
        <w:keepNext w:val="0"/>
        <w:keepLines w:val="0"/>
        <w:pageBreakBefore w:val="0"/>
        <w:widowControl/>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3、严重失职，营私舞弊，给甲方造成重大损害的；</w:t>
      </w:r>
    </w:p>
    <w:p w14:paraId="4BD9433B">
      <w:pPr>
        <w:keepNext w:val="0"/>
        <w:keepLines w:val="0"/>
        <w:pageBreakBefore w:val="0"/>
        <w:widowControl/>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4、派遣员工同时与其他用人单位建立劳动关系，对完成甲方的工作任务造成严重影响，或者经甲方提出，拒不改正的；</w:t>
      </w:r>
    </w:p>
    <w:p w14:paraId="01B84BED">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5、派遣员工提供虚假学历、经历等，或隐瞒真实情况，致使与岗位工作要求不相符的；</w:t>
      </w:r>
    </w:p>
    <w:p w14:paraId="250CD348">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6、被依法追究刑事责任的。</w:t>
      </w:r>
    </w:p>
    <w:p w14:paraId="3A1E0DEF">
      <w:pPr>
        <w:keepNext w:val="0"/>
        <w:keepLines w:val="0"/>
        <w:pageBreakBefore w:val="0"/>
        <w:widowControl/>
        <w:tabs>
          <w:tab w:val="left" w:pos="426"/>
        </w:tabs>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二）有下列情形之一的，甲方可以将被派遣员工退回乙方。甲方应提前30天通知乙方并承担乙方可能产生的支付给派遣员工的经济补偿金。如发生依法需支付医疗补助费的情形，甲方还应依法支付医疗补助费。如员工被退回后不同意与乙方解除劳动关系的，甲方应依法承担员工待岗期间的各项待遇。</w:t>
      </w:r>
    </w:p>
    <w:p w14:paraId="11B18EE7">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1、甲方有《劳动合同法》第四十条、第四十四条第一项规定情形的；</w:t>
      </w:r>
    </w:p>
    <w:p w14:paraId="5174BFEA">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2、甲方被依法宣告破产、吊销营业执照、责令关闭、撤销、决定提前解散或者经营期限届满不再继续经营的</w:t>
      </w:r>
      <w:r>
        <w:rPr>
          <w:rFonts w:hint="eastAsia" w:ascii="宋体" w:hAnsi="宋体" w:eastAsia="宋体" w:cs="宋体"/>
          <w:color w:val="auto"/>
          <w:szCs w:val="21"/>
          <w:highlight w:val="none"/>
          <w:lang w:eastAsia="zh-CN"/>
        </w:rPr>
        <w:t>；</w:t>
      </w:r>
    </w:p>
    <w:p w14:paraId="340AE888">
      <w:pPr>
        <w:keepNext w:val="0"/>
        <w:keepLines w:val="0"/>
        <w:pageBreakBefore w:val="0"/>
        <w:widowControl/>
        <w:tabs>
          <w:tab w:val="left" w:pos="7200"/>
        </w:tabs>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 xml:space="preserve"> 3、本协议期满，或者派遣期限届满，甲方</w:t>
      </w:r>
      <w:r>
        <w:rPr>
          <w:rFonts w:hint="eastAsia" w:ascii="宋体" w:hAnsi="宋体" w:eastAsia="宋体" w:cs="宋体"/>
          <w:bCs/>
          <w:color w:val="auto"/>
          <w:szCs w:val="21"/>
          <w:highlight w:val="none"/>
          <w:lang w:val="en-US" w:eastAsia="zh-CN"/>
        </w:rPr>
        <w:t>不再续用</w:t>
      </w:r>
      <w:r>
        <w:rPr>
          <w:rFonts w:hint="eastAsia" w:ascii="宋体" w:hAnsi="宋体" w:eastAsia="宋体" w:cs="宋体"/>
          <w:bCs/>
          <w:color w:val="auto"/>
          <w:szCs w:val="21"/>
          <w:highlight w:val="none"/>
        </w:rPr>
        <w:t>派遣员工的</w:t>
      </w:r>
      <w:r>
        <w:rPr>
          <w:rFonts w:hint="eastAsia" w:ascii="宋体" w:hAnsi="宋体" w:eastAsia="宋体" w:cs="宋体"/>
          <w:bCs/>
          <w:color w:val="auto"/>
          <w:szCs w:val="21"/>
          <w:highlight w:val="none"/>
          <w:lang w:eastAsia="zh-CN"/>
        </w:rPr>
        <w:t>；</w:t>
      </w:r>
    </w:p>
    <w:p w14:paraId="1FAAAB45">
      <w:pPr>
        <w:keepNext w:val="0"/>
        <w:keepLines w:val="0"/>
        <w:pageBreakBefore w:val="0"/>
        <w:widowControl/>
        <w:tabs>
          <w:tab w:val="left" w:pos="7200"/>
        </w:tabs>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（三）派遣员工有下列情形之一的，甲方不得将派遣员工退回乙方</w:t>
      </w:r>
      <w:r>
        <w:rPr>
          <w:rFonts w:hint="eastAsia" w:ascii="宋体" w:hAnsi="宋体" w:eastAsia="宋体" w:cs="宋体"/>
          <w:color w:val="auto"/>
          <w:szCs w:val="21"/>
          <w:highlight w:val="none"/>
          <w:lang w:eastAsia="zh-CN"/>
        </w:rPr>
        <w:t>。</w:t>
      </w:r>
    </w:p>
    <w:p w14:paraId="5283D058">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1、从事接触职业病危害作业的派遣员工未进行离岗前职业健康检查，或者疑似职业病尚在诊断或者医学观察期间的；</w:t>
      </w:r>
    </w:p>
    <w:p w14:paraId="7123053F">
      <w:pPr>
        <w:keepNext w:val="0"/>
        <w:keepLines w:val="0"/>
        <w:pageBreakBefore w:val="0"/>
        <w:widowControl/>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2、在甲方患职业病或者因工负伤并被确认丧失或者部分丧失劳动能力的；</w:t>
      </w:r>
    </w:p>
    <w:p w14:paraId="7BF57127">
      <w:pPr>
        <w:keepNext w:val="0"/>
        <w:keepLines w:val="0"/>
        <w:pageBreakBefore w:val="0"/>
        <w:widowControl/>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3、患病或者非因工负伤，在规定的医疗期内的；</w:t>
      </w:r>
    </w:p>
    <w:p w14:paraId="108DFF39">
      <w:pPr>
        <w:keepNext w:val="0"/>
        <w:keepLines w:val="0"/>
        <w:pageBreakBefore w:val="0"/>
        <w:widowControl/>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4、女职工在孕期、产期、哺乳期的；</w:t>
      </w:r>
    </w:p>
    <w:p w14:paraId="461E59B6">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5、在甲方连续工作满十五年，且距法定退休年龄不足五年的；</w:t>
      </w:r>
    </w:p>
    <w:p w14:paraId="2A6B98C5">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6、法律、行政法规规定的用人单位不得解除劳动合同的情形；</w:t>
      </w:r>
    </w:p>
    <w:p w14:paraId="63924543">
      <w:pPr>
        <w:keepNext w:val="0"/>
        <w:keepLines w:val="0"/>
        <w:pageBreakBefore w:val="0"/>
        <w:widowControl/>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bCs/>
          <w:color w:val="auto"/>
          <w:szCs w:val="21"/>
          <w:highlight w:val="none"/>
          <w:lang w:eastAsia="zh-CN"/>
        </w:rPr>
      </w:pPr>
      <w:r>
        <w:rPr>
          <w:rFonts w:hint="eastAsia" w:ascii="宋体" w:hAnsi="宋体" w:eastAsia="宋体" w:cs="宋体"/>
          <w:color w:val="auto"/>
          <w:szCs w:val="21"/>
          <w:highlight w:val="none"/>
        </w:rPr>
        <w:t xml:space="preserve">  （四）</w:t>
      </w:r>
      <w:r>
        <w:rPr>
          <w:rFonts w:hint="eastAsia" w:ascii="宋体" w:hAnsi="宋体" w:eastAsia="宋体" w:cs="宋体"/>
          <w:color w:val="auto"/>
          <w:szCs w:val="21"/>
          <w:highlight w:val="none"/>
          <w:lang w:val="en-US" w:eastAsia="zh-CN"/>
        </w:rPr>
        <w:t>甲方</w:t>
      </w:r>
      <w:r>
        <w:rPr>
          <w:rFonts w:hint="eastAsia" w:ascii="宋体" w:hAnsi="宋体" w:eastAsia="宋体" w:cs="宋体"/>
          <w:bCs/>
          <w:color w:val="auto"/>
          <w:szCs w:val="21"/>
          <w:highlight w:val="none"/>
          <w:lang w:val="en-US" w:eastAsia="zh-CN"/>
        </w:rPr>
        <w:t>依法</w:t>
      </w:r>
      <w:r>
        <w:rPr>
          <w:rFonts w:hint="eastAsia" w:ascii="宋体" w:hAnsi="宋体" w:eastAsia="宋体" w:cs="宋体"/>
          <w:color w:val="auto"/>
          <w:szCs w:val="21"/>
          <w:highlight w:val="none"/>
          <w:lang w:val="en-US" w:eastAsia="zh-CN"/>
        </w:rPr>
        <w:t>退回</w:t>
      </w:r>
      <w:r>
        <w:rPr>
          <w:rFonts w:hint="eastAsia" w:ascii="宋体" w:hAnsi="宋体" w:eastAsia="宋体" w:cs="宋体"/>
          <w:bCs/>
          <w:color w:val="auto"/>
          <w:szCs w:val="21"/>
          <w:highlight w:val="none"/>
        </w:rPr>
        <w:t>因工伤残等级</w:t>
      </w:r>
      <w:r>
        <w:rPr>
          <w:rFonts w:hint="eastAsia" w:ascii="宋体" w:hAnsi="宋体" w:eastAsia="宋体" w:cs="宋体"/>
          <w:color w:val="auto"/>
          <w:szCs w:val="21"/>
          <w:highlight w:val="none"/>
          <w:lang w:val="en-US" w:eastAsia="zh-CN"/>
        </w:rPr>
        <w:t>派遣员工</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含个人辞职的情形</w:t>
      </w:r>
      <w:r>
        <w:rPr>
          <w:rFonts w:hint="eastAsia" w:ascii="宋体" w:hAnsi="宋体" w:eastAsia="宋体" w:cs="宋体"/>
          <w:bCs/>
          <w:color w:val="auto"/>
          <w:szCs w:val="21"/>
          <w:highlight w:val="none"/>
          <w:lang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Cs/>
          <w:color w:val="auto"/>
          <w:szCs w:val="21"/>
          <w:highlight w:val="none"/>
          <w:lang w:val="en-US" w:eastAsia="zh-CN"/>
        </w:rPr>
        <w:t>符合与乙方解除、终止劳动合同的法定情形且需向其支付相应费用的</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甲方</w:t>
      </w:r>
      <w:r>
        <w:rPr>
          <w:rFonts w:hint="eastAsia" w:ascii="宋体" w:hAnsi="宋体" w:eastAsia="宋体" w:cs="宋体"/>
          <w:color w:val="auto"/>
          <w:szCs w:val="21"/>
          <w:highlight w:val="none"/>
          <w:lang w:val="en-US" w:eastAsia="zh-CN"/>
        </w:rPr>
        <w:t>除</w:t>
      </w:r>
      <w:r>
        <w:rPr>
          <w:rFonts w:hint="eastAsia" w:ascii="宋体" w:hAnsi="宋体" w:eastAsia="宋体" w:cs="宋体"/>
          <w:bCs/>
          <w:color w:val="auto"/>
          <w:szCs w:val="21"/>
          <w:highlight w:val="none"/>
        </w:rPr>
        <w:t>应根据派遣员工在甲方的用工服务年限，按《劳动合同法》第四十七条中经济补偿金的标准向乙方支付补偿金</w:t>
      </w:r>
      <w:r>
        <w:rPr>
          <w:rFonts w:hint="eastAsia" w:ascii="宋体" w:hAnsi="宋体" w:eastAsia="宋体" w:cs="宋体"/>
          <w:bCs/>
          <w:color w:val="auto"/>
          <w:szCs w:val="21"/>
          <w:highlight w:val="none"/>
          <w:lang w:val="en-US" w:eastAsia="zh-CN"/>
        </w:rPr>
        <w:t>外，还</w:t>
      </w:r>
      <w:r>
        <w:rPr>
          <w:rFonts w:hint="eastAsia" w:ascii="宋体" w:hAnsi="宋体" w:eastAsia="宋体" w:cs="宋体"/>
          <w:bCs/>
          <w:color w:val="auto"/>
          <w:szCs w:val="21"/>
          <w:highlight w:val="none"/>
        </w:rPr>
        <w:t>应通过乙方</w:t>
      </w:r>
      <w:r>
        <w:rPr>
          <w:rFonts w:hint="eastAsia" w:ascii="宋体" w:hAnsi="宋体" w:eastAsia="宋体" w:cs="宋体"/>
          <w:bCs/>
          <w:color w:val="auto"/>
          <w:szCs w:val="21"/>
          <w:highlight w:val="none"/>
          <w:lang w:val="en-US" w:eastAsia="zh-CN"/>
        </w:rPr>
        <w:t>向派遣员工承担包括并不限于一次性工伤</w:t>
      </w:r>
      <w:r>
        <w:rPr>
          <w:rFonts w:hint="eastAsia" w:ascii="宋体" w:hAnsi="宋体" w:eastAsia="宋体" w:cs="宋体"/>
          <w:bCs/>
          <w:color w:val="auto"/>
          <w:szCs w:val="21"/>
          <w:highlight w:val="none"/>
        </w:rPr>
        <w:t>伤残补助金</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一次性</w:t>
      </w:r>
      <w:r>
        <w:rPr>
          <w:rFonts w:hint="eastAsia" w:ascii="宋体" w:hAnsi="宋体" w:eastAsia="宋体" w:cs="宋体"/>
          <w:bCs/>
          <w:color w:val="auto"/>
          <w:szCs w:val="21"/>
          <w:highlight w:val="none"/>
        </w:rPr>
        <w:t>工伤医疗补助金、和</w:t>
      </w:r>
      <w:r>
        <w:rPr>
          <w:rFonts w:hint="eastAsia" w:ascii="宋体" w:hAnsi="宋体" w:eastAsia="宋体" w:cs="宋体"/>
          <w:bCs/>
          <w:color w:val="auto"/>
          <w:szCs w:val="21"/>
          <w:highlight w:val="none"/>
          <w:lang w:val="en-US" w:eastAsia="zh-CN"/>
        </w:rPr>
        <w:t>一次性</w:t>
      </w:r>
      <w:r>
        <w:rPr>
          <w:rFonts w:hint="eastAsia" w:ascii="宋体" w:hAnsi="宋体" w:eastAsia="宋体" w:cs="宋体"/>
          <w:bCs/>
          <w:color w:val="auto"/>
          <w:szCs w:val="21"/>
          <w:highlight w:val="none"/>
        </w:rPr>
        <w:t>伤残就业补助金</w:t>
      </w:r>
      <w:r>
        <w:rPr>
          <w:rFonts w:hint="eastAsia" w:ascii="宋体" w:hAnsi="宋体" w:eastAsia="宋体" w:cs="宋体"/>
          <w:bCs/>
          <w:color w:val="auto"/>
          <w:szCs w:val="21"/>
          <w:highlight w:val="none"/>
          <w:lang w:val="en-US" w:eastAsia="zh-CN"/>
        </w:rPr>
        <w:t>等工伤待遇费用</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若工伤保险理赔不足的，由甲方补足差额</w:t>
      </w:r>
      <w:r>
        <w:rPr>
          <w:rFonts w:hint="eastAsia" w:ascii="宋体" w:hAnsi="宋体" w:eastAsia="宋体" w:cs="宋体"/>
          <w:bCs/>
          <w:color w:val="auto"/>
          <w:szCs w:val="21"/>
          <w:highlight w:val="none"/>
          <w:lang w:eastAsia="zh-CN"/>
        </w:rPr>
        <w:t>。</w:t>
      </w:r>
    </w:p>
    <w:p w14:paraId="1B54A982">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五</w:t>
      </w:r>
      <w:r>
        <w:rPr>
          <w:rFonts w:hint="eastAsia" w:ascii="宋体" w:hAnsi="宋体" w:eastAsia="宋体" w:cs="宋体"/>
          <w:bCs/>
          <w:color w:val="auto"/>
          <w:szCs w:val="21"/>
          <w:highlight w:val="none"/>
          <w:lang w:eastAsia="zh-CN"/>
        </w:rPr>
        <w:t>）</w:t>
      </w:r>
      <w:r>
        <w:rPr>
          <w:rFonts w:hint="eastAsia" w:ascii="宋体" w:hAnsi="宋体" w:eastAsia="宋体" w:cs="宋体"/>
          <w:color w:val="auto"/>
          <w:szCs w:val="21"/>
          <w:highlight w:val="none"/>
        </w:rPr>
        <w:t>在派遣期限内，如果不具备上述（一）、（二）的退工条件，甲方希望退回员工的，乙方可以协助甲方与员工进行沟通协商，在与员工达成一致后甲方方可将员工退回乙方，乙方办理解除劳动合同手续</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但甲方应依法支付经济补偿金</w:t>
      </w:r>
      <w:r>
        <w:rPr>
          <w:rFonts w:hint="eastAsia" w:ascii="宋体" w:hAnsi="宋体" w:eastAsia="宋体" w:cs="宋体"/>
          <w:color w:val="auto"/>
          <w:szCs w:val="21"/>
          <w:highlight w:val="none"/>
          <w:lang w:val="en-US" w:eastAsia="zh-CN"/>
        </w:rPr>
        <w:t>或依据</w:t>
      </w:r>
      <w:r>
        <w:rPr>
          <w:rFonts w:hint="eastAsia" w:ascii="宋体" w:hAnsi="宋体" w:eastAsia="宋体" w:cs="宋体"/>
          <w:color w:val="auto"/>
          <w:szCs w:val="21"/>
          <w:highlight w:val="none"/>
        </w:rPr>
        <w:t>裁判决</w:t>
      </w:r>
      <w:r>
        <w:rPr>
          <w:rFonts w:hint="eastAsia" w:ascii="宋体" w:hAnsi="宋体" w:eastAsia="宋体" w:cs="宋体"/>
          <w:color w:val="auto"/>
          <w:szCs w:val="21"/>
          <w:highlight w:val="none"/>
          <w:lang w:val="en-US" w:eastAsia="zh-CN"/>
        </w:rPr>
        <w:t>书向</w:t>
      </w:r>
      <w:r>
        <w:rPr>
          <w:rFonts w:hint="eastAsia" w:ascii="宋体" w:hAnsi="宋体" w:eastAsia="宋体" w:cs="宋体"/>
          <w:color w:val="auto"/>
          <w:szCs w:val="21"/>
          <w:highlight w:val="none"/>
        </w:rPr>
        <w:t>乙方承担补赔偿</w:t>
      </w:r>
      <w:r>
        <w:rPr>
          <w:rFonts w:hint="eastAsia" w:ascii="宋体" w:hAnsi="宋体" w:eastAsia="宋体" w:cs="宋体"/>
          <w:color w:val="auto"/>
          <w:szCs w:val="21"/>
          <w:highlight w:val="none"/>
          <w:lang w:val="en-US" w:eastAsia="zh-CN"/>
        </w:rPr>
        <w:t>费用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包括并不限于：</w:t>
      </w:r>
    </w:p>
    <w:p w14:paraId="4C7C9146">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1、派遣员工向乙方</w:t>
      </w:r>
      <w:r>
        <w:rPr>
          <w:rFonts w:hint="eastAsia" w:ascii="宋体" w:hAnsi="宋体" w:eastAsia="宋体" w:cs="宋体"/>
          <w:color w:val="auto"/>
          <w:szCs w:val="21"/>
          <w:highlight w:val="none"/>
        </w:rPr>
        <w:t>提出订立无固定期限劳动合同</w:t>
      </w:r>
      <w:r>
        <w:rPr>
          <w:rFonts w:hint="eastAsia" w:ascii="宋体" w:hAnsi="宋体" w:eastAsia="宋体" w:cs="宋体"/>
          <w:color w:val="auto"/>
          <w:szCs w:val="21"/>
          <w:highlight w:val="none"/>
          <w:lang w:val="en-US" w:eastAsia="zh-CN"/>
        </w:rPr>
        <w:t>，但甲方不再续用的；或就变更原约定劳动条件未与派遣员工达成一致的以下情形</w:t>
      </w:r>
      <w:r>
        <w:rPr>
          <w:rFonts w:hint="eastAsia" w:ascii="宋体" w:hAnsi="宋体" w:eastAsia="宋体" w:cs="宋体"/>
          <w:color w:val="auto"/>
          <w:szCs w:val="21"/>
          <w:highlight w:val="none"/>
        </w:rPr>
        <w:t>：</w:t>
      </w:r>
    </w:p>
    <w:p w14:paraId="306A56EB">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派遣员工</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连续工作满十年的</w:t>
      </w:r>
      <w:r>
        <w:rPr>
          <w:rFonts w:hint="eastAsia" w:ascii="宋体" w:hAnsi="宋体" w:eastAsia="宋体" w:cs="宋体"/>
          <w:color w:val="auto"/>
          <w:szCs w:val="21"/>
          <w:highlight w:val="none"/>
          <w:lang w:eastAsia="zh-CN"/>
        </w:rPr>
        <w:t>；</w:t>
      </w:r>
    </w:p>
    <w:p w14:paraId="099E4D0E">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（2）或派遣员工已</w:t>
      </w:r>
      <w:r>
        <w:rPr>
          <w:rFonts w:hint="eastAsia" w:ascii="宋体" w:hAnsi="宋体" w:eastAsia="宋体" w:cs="宋体"/>
          <w:color w:val="auto"/>
          <w:szCs w:val="21"/>
          <w:highlight w:val="none"/>
        </w:rPr>
        <w:t>连续</w:t>
      </w:r>
      <w:r>
        <w:rPr>
          <w:rFonts w:hint="eastAsia" w:ascii="宋体" w:hAnsi="宋体" w:eastAsia="宋体" w:cs="宋体"/>
          <w:color w:val="auto"/>
          <w:szCs w:val="21"/>
          <w:highlight w:val="none"/>
          <w:lang w:val="en-US" w:eastAsia="zh-CN"/>
        </w:rPr>
        <w:t>与乙方</w:t>
      </w:r>
      <w:r>
        <w:rPr>
          <w:rFonts w:hint="eastAsia" w:ascii="宋体" w:hAnsi="宋体" w:eastAsia="宋体" w:cs="宋体"/>
          <w:color w:val="auto"/>
          <w:szCs w:val="21"/>
          <w:highlight w:val="none"/>
        </w:rPr>
        <w:t>订立二次固定期限劳动合同</w:t>
      </w:r>
      <w:r>
        <w:rPr>
          <w:rFonts w:hint="eastAsia" w:ascii="宋体" w:hAnsi="宋体" w:eastAsia="宋体" w:cs="宋体"/>
          <w:color w:val="auto"/>
          <w:szCs w:val="21"/>
          <w:highlight w:val="none"/>
          <w:lang w:val="en-US" w:eastAsia="zh-CN"/>
        </w:rPr>
        <w:t>后被连续派遣至甲方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派遣员工</w:t>
      </w:r>
      <w:r>
        <w:rPr>
          <w:rFonts w:hint="eastAsia" w:ascii="宋体" w:hAnsi="宋体" w:eastAsia="宋体" w:cs="宋体"/>
          <w:color w:val="auto"/>
          <w:szCs w:val="21"/>
          <w:highlight w:val="none"/>
        </w:rPr>
        <w:t>没有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劳动合同法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第三十九条和第四十条第一项、第二项规定的情形，</w:t>
      </w:r>
      <w:r>
        <w:rPr>
          <w:rFonts w:hint="eastAsia" w:ascii="宋体" w:hAnsi="宋体" w:eastAsia="宋体" w:cs="宋体"/>
          <w:color w:val="auto"/>
          <w:szCs w:val="21"/>
          <w:highlight w:val="none"/>
          <w:lang w:val="en-US" w:eastAsia="zh-CN"/>
        </w:rPr>
        <w:t>续订时要求与乙方</w:t>
      </w:r>
      <w:r>
        <w:rPr>
          <w:rFonts w:hint="eastAsia" w:ascii="宋体" w:hAnsi="宋体" w:eastAsia="宋体" w:cs="宋体"/>
          <w:color w:val="auto"/>
          <w:szCs w:val="21"/>
          <w:highlight w:val="none"/>
        </w:rPr>
        <w:t>续订</w:t>
      </w:r>
      <w:r>
        <w:rPr>
          <w:rFonts w:hint="eastAsia" w:ascii="宋体" w:hAnsi="宋体" w:eastAsia="宋体" w:cs="宋体"/>
          <w:color w:val="auto"/>
          <w:szCs w:val="21"/>
          <w:highlight w:val="none"/>
          <w:lang w:val="en-US" w:eastAsia="zh-CN"/>
        </w:rPr>
        <w:t>签署无固定期限</w:t>
      </w:r>
      <w:r>
        <w:rPr>
          <w:rFonts w:hint="eastAsia" w:ascii="宋体" w:hAnsi="宋体" w:eastAsia="宋体" w:cs="宋体"/>
          <w:color w:val="auto"/>
          <w:szCs w:val="21"/>
          <w:highlight w:val="none"/>
        </w:rPr>
        <w:t>劳动合同的。</w:t>
      </w:r>
    </w:p>
    <w:p w14:paraId="1D9B8733">
      <w:pPr>
        <w:keepNext w:val="0"/>
        <w:keepLines w:val="0"/>
        <w:pageBreakBefore w:val="0"/>
        <w:widowControl/>
        <w:tabs>
          <w:tab w:val="left" w:pos="426"/>
        </w:tabs>
        <w:kinsoku/>
        <w:wordWrap/>
        <w:overflowPunct/>
        <w:topLinePunct w:val="0"/>
        <w:autoSpaceDE/>
        <w:autoSpaceDN/>
        <w:bidi w:val="0"/>
        <w:adjustRightInd/>
        <w:snapToGrid/>
        <w:spacing w:beforeAutospacing="0" w:after="0" w:afterAutospacing="0" w:line="440" w:lineRule="exact"/>
        <w:ind w:firstLine="42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2、因甲方用工形式转变或因不可抗力因素甲乙双方不再继续合作，但与派遣员工未能就变更用人主体达成一致的；</w:t>
      </w:r>
    </w:p>
    <w:p w14:paraId="2FAB979E">
      <w:pPr>
        <w:keepNext w:val="0"/>
        <w:keepLines w:val="0"/>
        <w:pageBreakBefore w:val="0"/>
        <w:widowControl/>
        <w:tabs>
          <w:tab w:val="left" w:pos="426"/>
        </w:tabs>
        <w:kinsoku/>
        <w:wordWrap/>
        <w:overflowPunct/>
        <w:topLinePunct w:val="0"/>
        <w:autoSpaceDE/>
        <w:autoSpaceDN/>
        <w:bidi w:val="0"/>
        <w:adjustRightInd/>
        <w:snapToGrid/>
        <w:spacing w:beforeAutospacing="0" w:after="0" w:afterAutospacing="0" w:line="440" w:lineRule="exact"/>
        <w:ind w:firstLine="42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3、派遣员工因达到法定退休年龄而退回，但未享受退休待遇向乙方主张相应补偿的；</w:t>
      </w:r>
    </w:p>
    <w:p w14:paraId="1B82F7BE">
      <w:pPr>
        <w:keepNext w:val="0"/>
        <w:keepLines w:val="0"/>
        <w:pageBreakBefore w:val="0"/>
        <w:widowControl/>
        <w:tabs>
          <w:tab w:val="left" w:pos="426"/>
        </w:tabs>
        <w:kinsoku/>
        <w:wordWrap/>
        <w:overflowPunct/>
        <w:topLinePunct w:val="0"/>
        <w:autoSpaceDE/>
        <w:autoSpaceDN/>
        <w:bidi w:val="0"/>
        <w:adjustRightInd/>
        <w:snapToGrid/>
        <w:spacing w:beforeAutospacing="0" w:after="0" w:afterAutospacing="0" w:line="440" w:lineRule="exact"/>
        <w:ind w:firstLine="42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4、派遣员工退回时主张因甲方而导致的未缴纳或未足额缴纳社保、公积金等历史遗留的相应待遇或差额损失的；</w:t>
      </w:r>
    </w:p>
    <w:p w14:paraId="5C476465">
      <w:pPr>
        <w:keepNext w:val="0"/>
        <w:keepLines w:val="0"/>
        <w:pageBreakBefore w:val="0"/>
        <w:widowControl/>
        <w:tabs>
          <w:tab w:val="left" w:pos="426"/>
        </w:tabs>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甲方以《劳动合同法》第四十二条的规定的情形坚持退回派遣员工，派遣员工要求继续履行劳动合同的，乙方可以要求甲方继续用工；派遣员工不要求继续履行劳动合同或者劳动合同已经不能继续履行的，甲方应当依照</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劳动合同</w:t>
      </w:r>
      <w:r>
        <w:rPr>
          <w:rFonts w:hint="eastAsia" w:ascii="宋体" w:hAnsi="宋体" w:eastAsia="宋体" w:cs="宋体"/>
          <w:color w:val="auto"/>
          <w:szCs w:val="21"/>
          <w:highlight w:val="none"/>
        </w:rPr>
        <w:t>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第八十七条规定支付赔偿金，</w:t>
      </w:r>
      <w:r>
        <w:rPr>
          <w:rFonts w:hint="eastAsia" w:ascii="宋体" w:hAnsi="宋体" w:eastAsia="宋体" w:cs="宋体"/>
          <w:color w:val="auto"/>
          <w:highlight w:val="none"/>
        </w:rPr>
        <w:t>并承担应由用人单位承担的延续责任。</w:t>
      </w:r>
    </w:p>
    <w:p w14:paraId="392FC447">
      <w:pPr>
        <w:keepNext w:val="0"/>
        <w:keepLines w:val="0"/>
        <w:pageBreakBefore w:val="0"/>
        <w:widowControl/>
        <w:tabs>
          <w:tab w:val="left" w:pos="7200"/>
        </w:tabs>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退回的派遣员工若涉及出资培训的违约费用由派遣人员赔付，参照甲方规章制度执行。</w:t>
      </w:r>
    </w:p>
    <w:p w14:paraId="21699E86">
      <w:pPr>
        <w:keepNext w:val="0"/>
        <w:keepLines w:val="0"/>
        <w:pageBreakBefore w:val="0"/>
        <w:widowControl/>
        <w:tabs>
          <w:tab w:val="left" w:pos="426"/>
        </w:tabs>
        <w:kinsoku/>
        <w:wordWrap/>
        <w:overflowPunct/>
        <w:topLinePunct w:val="0"/>
        <w:autoSpaceDE/>
        <w:autoSpaceDN/>
        <w:bidi w:val="0"/>
        <w:adjustRightInd/>
        <w:snapToGrid/>
        <w:spacing w:beforeAutospacing="0" w:after="0" w:afterAutospacing="0" w:line="440" w:lineRule="exact"/>
        <w:ind w:left="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）所有涉及派遣员工被甲方退回的，甲方应事先向乙方提供退回原因的相关有效证据资料，以便乙方为派遣员工办理退工等相关手续；</w:t>
      </w:r>
    </w:p>
    <w:p w14:paraId="7F743B0C">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33" w:firstLineChars="196"/>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第四条  派遣员工的管理</w:t>
      </w:r>
    </w:p>
    <w:p w14:paraId="3ADCCFF3">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31" w:firstLineChars="196"/>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（一）派遣员工有权提前30日书面通知甲方或通过乙方向甲方提出解除劳动合同，即辞职；在试用期内，派遣员工可提前3日通知甲方或通过乙方向甲方提出解除劳动合同，并按照规定完成工作交接。</w:t>
      </w:r>
    </w:p>
    <w:p w14:paraId="5258A10B">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31" w:firstLineChars="196"/>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（二）</w:t>
      </w:r>
      <w:r>
        <w:rPr>
          <w:rFonts w:hint="eastAsia" w:ascii="宋体" w:hAnsi="宋体" w:eastAsia="宋体" w:cs="宋体"/>
          <w:bCs/>
          <w:color w:val="auto"/>
          <w:szCs w:val="21"/>
          <w:highlight w:val="none"/>
        </w:rPr>
        <w:t>甲乙双方均可受理派遣员工的自动离职的诉求并接收员工辞职信。任意一方在收到员工辞职信的当天应及时通知另一方，辞职信原件由乙方留存。通知方如不能提供辞职信原件，由此产生的责任由通知方承担。</w:t>
      </w:r>
    </w:p>
    <w:p w14:paraId="490F368B">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31" w:firstLineChars="196"/>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（三）派遣员工的劳动、人事、党团组织关系管理等相关事宜由乙方负责办理。</w:t>
      </w:r>
    </w:p>
    <w:p w14:paraId="1036FA16">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1、乙方负责与派遣员工签订合法的劳动合同，处理相关劳动人事事务。</w:t>
      </w:r>
    </w:p>
    <w:p w14:paraId="46937A7D">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22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2、乙方可以为派遣员工提供人事档案及党团组织关系管理服务。</w:t>
      </w:r>
    </w:p>
    <w:p w14:paraId="3062CC9D">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330"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3、派遣员工</w:t>
      </w:r>
      <w:r>
        <w:rPr>
          <w:rFonts w:hint="eastAsia" w:ascii="宋体" w:hAnsi="宋体" w:eastAsia="宋体" w:cs="宋体"/>
          <w:color w:val="auto"/>
          <w:szCs w:val="21"/>
          <w:highlight w:val="none"/>
          <w:lang w:val="en-US" w:eastAsia="zh-CN"/>
        </w:rPr>
        <w:t>如</w:t>
      </w:r>
      <w:r>
        <w:rPr>
          <w:rFonts w:hint="eastAsia" w:ascii="宋体" w:hAnsi="宋体" w:eastAsia="宋体" w:cs="宋体"/>
          <w:color w:val="auto"/>
          <w:szCs w:val="21"/>
          <w:highlight w:val="none"/>
        </w:rPr>
        <w:t>在乙方参加工会，甲方需每月按照派遣人员工资总额的2%另行缴纳工会活动经费。派遣员工也可在甲方参加工会，甲乙双方协商备案。</w:t>
      </w:r>
    </w:p>
    <w:p w14:paraId="5A7CFCA4">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330"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（四）乙方有权督促甲方执行国家标准，提供相应的劳动条件和劳动保护。</w:t>
      </w:r>
    </w:p>
    <w:p w14:paraId="0251D647">
      <w:pPr>
        <w:keepNext w:val="0"/>
        <w:keepLines w:val="0"/>
        <w:pageBreakBefore w:val="0"/>
        <w:widowControl/>
        <w:tabs>
          <w:tab w:val="left" w:pos="720"/>
          <w:tab w:val="left" w:pos="900"/>
        </w:tabs>
        <w:kinsoku/>
        <w:wordWrap/>
        <w:overflowPunct/>
        <w:topLinePunct w:val="0"/>
        <w:autoSpaceDE/>
        <w:autoSpaceDN/>
        <w:bidi w:val="0"/>
        <w:adjustRightInd/>
        <w:snapToGrid/>
        <w:spacing w:beforeAutospacing="0" w:after="0" w:afterAutospacing="0" w:line="440" w:lineRule="exact"/>
        <w:ind w:firstLine="22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（五）派遣员工有权拒绝甲方管理人员违章指挥，强令冒险作业。</w:t>
      </w:r>
    </w:p>
    <w:p w14:paraId="1F1968D4">
      <w:pPr>
        <w:keepNext w:val="0"/>
        <w:keepLines w:val="0"/>
        <w:pageBreakBefore w:val="0"/>
        <w:widowControl/>
        <w:tabs>
          <w:tab w:val="left" w:pos="720"/>
        </w:tabs>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（六）根据甲方实际情况和行业特点，甲方与乙方协商一致的情况下可制定具体的派遣员工管理规定，并按照管理规定负责管理派遣员工的业务和服务工作，监督其工作质量。</w:t>
      </w:r>
    </w:p>
    <w:p w14:paraId="40B58C1F">
      <w:pPr>
        <w:keepNext w:val="0"/>
        <w:keepLines w:val="0"/>
        <w:pageBreakBefore w:val="0"/>
        <w:widowControl/>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 xml:space="preserve">   （七）甲方有权依法制定企业各项劳动管理的规章制度，</w:t>
      </w:r>
      <w:r>
        <w:rPr>
          <w:rFonts w:hint="eastAsia" w:ascii="宋体" w:hAnsi="宋体" w:eastAsia="宋体" w:cs="宋体"/>
          <w:bCs/>
          <w:color w:val="auto"/>
          <w:szCs w:val="21"/>
          <w:highlight w:val="none"/>
        </w:rPr>
        <w:t>并向员工公示。</w:t>
      </w:r>
      <w:r>
        <w:rPr>
          <w:rFonts w:hint="eastAsia" w:ascii="宋体" w:hAnsi="宋体" w:eastAsia="宋体" w:cs="宋体"/>
          <w:color w:val="auto"/>
          <w:szCs w:val="21"/>
          <w:highlight w:val="none"/>
        </w:rPr>
        <w:t>派遣员工必须按照甲方有关要求和业务的管理规章制度、岗位职责、业务操作规程作业，严格遵守劳动纪律，忠于职守，服从甲方的工作调配，接受甲方管理人员的管理和监督。</w:t>
      </w:r>
      <w:r>
        <w:rPr>
          <w:rFonts w:hint="eastAsia" w:ascii="宋体" w:hAnsi="宋体" w:eastAsia="宋体" w:cs="宋体"/>
          <w:bCs/>
          <w:color w:val="auto"/>
          <w:szCs w:val="21"/>
          <w:highlight w:val="none"/>
        </w:rPr>
        <w:t>派遣员工的奖惩情形，按照相关制度执行。</w:t>
      </w:r>
    </w:p>
    <w:p w14:paraId="1C7D18C6">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（八）乙方应及时处理和协调甲方与派遣员工之间的工作和管理纠纷。</w:t>
      </w:r>
    </w:p>
    <w:p w14:paraId="5F51BD13">
      <w:pPr>
        <w:keepNext w:val="0"/>
        <w:keepLines w:val="0"/>
        <w:pageBreakBefore w:val="0"/>
        <w:widowControl/>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（九）乙方管理人员可到派遣员工工作所在地，协调及处理甲乙双方与派遣员工之间的关系，但乙方不得在甲方场所从事与甲方合作无关的其他事务。</w:t>
      </w:r>
    </w:p>
    <w:p w14:paraId="0DA64D83">
      <w:pPr>
        <w:keepNext w:val="0"/>
        <w:keepLines w:val="0"/>
        <w:pageBreakBefore w:val="0"/>
        <w:widowControl/>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（十）甲方应为派遣员工履行下列义务：</w:t>
      </w:r>
    </w:p>
    <w:p w14:paraId="63CD8681">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1、执行国家劳动标准，提供相应的劳动条件和劳动保护；</w:t>
      </w:r>
    </w:p>
    <w:p w14:paraId="6B3094A4">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2、甲方应保证工伤、医疗期员工及三期女员工享受法律法规规定的特殊保护权益；</w:t>
      </w:r>
      <w:r>
        <w:rPr>
          <w:rFonts w:hint="eastAsia" w:ascii="宋体" w:hAnsi="宋体" w:eastAsia="宋体" w:cs="宋体"/>
          <w:color w:val="auto"/>
          <w:szCs w:val="21"/>
          <w:highlight w:val="none"/>
          <w:lang w:val="en-US" w:eastAsia="zh-CN"/>
        </w:rPr>
        <w:t>依法执行</w:t>
      </w:r>
      <w:r>
        <w:rPr>
          <w:rFonts w:hint="eastAsia" w:ascii="宋体" w:hAnsi="宋体" w:eastAsia="宋体" w:cs="宋体"/>
          <w:color w:val="auto"/>
          <w:szCs w:val="21"/>
          <w:highlight w:val="none"/>
        </w:rPr>
        <w:t>员工在疾病、非因工负伤期间以及因工负伤、死亡、患职业病的情况下享受的国家和当地政府规定的各种待遇。如员工发生工伤，甲方应在知道工伤发生之时起24小时内书面通知乙方，</w:t>
      </w:r>
      <w:r>
        <w:rPr>
          <w:rFonts w:hint="eastAsia" w:ascii="宋体" w:hAnsi="宋体" w:eastAsia="宋体" w:cs="宋体"/>
          <w:color w:val="auto"/>
          <w:szCs w:val="21"/>
          <w:highlight w:val="none"/>
          <w:lang w:val="en-US" w:eastAsia="zh-CN"/>
        </w:rPr>
        <w:t>并配合</w:t>
      </w:r>
      <w:r>
        <w:rPr>
          <w:rFonts w:hint="eastAsia" w:ascii="宋体" w:hAnsi="宋体" w:eastAsia="宋体" w:cs="宋体"/>
          <w:color w:val="auto"/>
          <w:szCs w:val="21"/>
          <w:highlight w:val="none"/>
        </w:rPr>
        <w:t>乙方及时办理工伤申报事宜。若由于甲方原因，造成乙方</w:t>
      </w:r>
      <w:r>
        <w:rPr>
          <w:rFonts w:hint="eastAsia" w:ascii="宋体" w:hAnsi="宋体" w:eastAsia="宋体" w:cs="宋体"/>
          <w:color w:val="auto"/>
          <w:szCs w:val="21"/>
          <w:highlight w:val="none"/>
          <w:lang w:val="en-US" w:eastAsia="zh-CN"/>
        </w:rPr>
        <w:t>未办理或逾期</w:t>
      </w:r>
      <w:r>
        <w:rPr>
          <w:rFonts w:hint="eastAsia" w:ascii="宋体" w:hAnsi="宋体" w:eastAsia="宋体" w:cs="宋体"/>
          <w:color w:val="auto"/>
          <w:szCs w:val="21"/>
          <w:highlight w:val="none"/>
        </w:rPr>
        <w:t>办理工伤</w:t>
      </w:r>
      <w:r>
        <w:rPr>
          <w:rFonts w:hint="eastAsia" w:ascii="宋体" w:hAnsi="宋体" w:eastAsia="宋体" w:cs="宋体"/>
          <w:color w:val="auto"/>
          <w:szCs w:val="21"/>
          <w:highlight w:val="none"/>
          <w:lang w:val="en-US" w:eastAsia="zh-CN"/>
        </w:rPr>
        <w:t>认定申报</w:t>
      </w:r>
      <w:r>
        <w:rPr>
          <w:rFonts w:hint="eastAsia" w:ascii="宋体" w:hAnsi="宋体" w:eastAsia="宋体" w:cs="宋体"/>
          <w:color w:val="auto"/>
          <w:szCs w:val="21"/>
          <w:highlight w:val="none"/>
        </w:rPr>
        <w:t>，甲方应当承担赔偿责任。派遣员工入职之日至社保开始享受的期间，因无法享受保险待遇而产生的医疗及工伤等费用，由甲方承担。</w:t>
      </w:r>
    </w:p>
    <w:p w14:paraId="29614869">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3、书面告知派遣员工管理制度、工作规范、岗位职责、业务操作规程和劳动报酬；</w:t>
      </w:r>
    </w:p>
    <w:p w14:paraId="6113E34E">
      <w:pPr>
        <w:keepNext w:val="0"/>
        <w:keepLines w:val="0"/>
        <w:pageBreakBefore w:val="0"/>
        <w:widowControl/>
        <w:tabs>
          <w:tab w:val="left" w:pos="426"/>
        </w:tabs>
        <w:kinsoku/>
        <w:wordWrap/>
        <w:overflowPunct/>
        <w:topLinePunct w:val="0"/>
        <w:autoSpaceDE/>
        <w:autoSpaceDN/>
        <w:bidi w:val="0"/>
        <w:adjustRightInd/>
        <w:snapToGrid/>
        <w:spacing w:beforeAutospacing="0" w:after="0" w:afterAutospacing="0" w:line="440" w:lineRule="exact"/>
        <w:ind w:left="1" w:firstLine="44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4、按照国家法律及地方政府规定的标准，向派遣员工支付加班费、绩效奖金、提供与工作相关福利待遇；</w:t>
      </w:r>
    </w:p>
    <w:p w14:paraId="0EC6599E">
      <w:pPr>
        <w:keepNext w:val="0"/>
        <w:keepLines w:val="0"/>
        <w:pageBreakBefore w:val="0"/>
        <w:widowControl/>
        <w:tabs>
          <w:tab w:val="left" w:pos="426"/>
        </w:tabs>
        <w:kinsoku/>
        <w:wordWrap/>
        <w:overflowPunct/>
        <w:topLinePunct w:val="0"/>
        <w:autoSpaceDE/>
        <w:autoSpaceDN/>
        <w:bidi w:val="0"/>
        <w:adjustRightInd/>
        <w:snapToGrid/>
        <w:spacing w:beforeAutospacing="0" w:after="0" w:afterAutospacing="0" w:line="440" w:lineRule="exact"/>
        <w:ind w:left="1" w:firstLine="44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5、按照国家及地方法律规定，安排带薪休假或支付未休假工资（员工书面提出放弃年休假除外）。</w:t>
      </w:r>
    </w:p>
    <w:p w14:paraId="64061695">
      <w:pPr>
        <w:keepNext w:val="0"/>
        <w:keepLines w:val="0"/>
        <w:pageBreakBefore w:val="0"/>
        <w:widowControl/>
        <w:tabs>
          <w:tab w:val="left" w:pos="426"/>
        </w:tabs>
        <w:kinsoku/>
        <w:wordWrap/>
        <w:overflowPunct/>
        <w:topLinePunct w:val="0"/>
        <w:autoSpaceDE/>
        <w:autoSpaceDN/>
        <w:bidi w:val="0"/>
        <w:adjustRightInd/>
        <w:snapToGrid/>
        <w:spacing w:beforeAutospacing="0" w:after="0" w:afterAutospacing="0" w:line="440" w:lineRule="exact"/>
        <w:ind w:left="1"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6、进行工作岗位所必须的岗前培训。如属出资培训，可与派遣人员订立协议约定服务期；</w:t>
      </w:r>
    </w:p>
    <w:p w14:paraId="65E501BB">
      <w:pPr>
        <w:keepNext w:val="0"/>
        <w:keepLines w:val="0"/>
        <w:pageBreakBefore w:val="0"/>
        <w:widowControl/>
        <w:tabs>
          <w:tab w:val="left" w:pos="426"/>
        </w:tabs>
        <w:kinsoku/>
        <w:wordWrap/>
        <w:overflowPunct/>
        <w:topLinePunct w:val="0"/>
        <w:autoSpaceDE/>
        <w:autoSpaceDN/>
        <w:bidi w:val="0"/>
        <w:adjustRightInd/>
        <w:snapToGrid/>
        <w:spacing w:beforeAutospacing="0" w:after="0" w:afterAutospacing="0" w:line="440" w:lineRule="exact"/>
        <w:ind w:left="1"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7、连续用工的，实行正常的工资调整机制。</w:t>
      </w:r>
    </w:p>
    <w:p w14:paraId="5452F52C">
      <w:pPr>
        <w:keepNext w:val="0"/>
        <w:keepLines w:val="0"/>
        <w:pageBreakBefore w:val="0"/>
        <w:widowControl/>
        <w:tabs>
          <w:tab w:val="left" w:pos="426"/>
        </w:tabs>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十一）甲方根据岗位实际对派遣员工实行综合计算工时制、不定时工作制或标准工时制。实行综合计算工时制或不定时工时制的，由甲方按照相关规定负责申报并征得乙方同意，在劳动行政部门批准后实行，并书面告知派遣员工。</w:t>
      </w:r>
    </w:p>
    <w:p w14:paraId="33999B82">
      <w:pPr>
        <w:keepNext w:val="0"/>
        <w:keepLines w:val="0"/>
        <w:pageBreakBefore w:val="0"/>
        <w:widowControl/>
        <w:tabs>
          <w:tab w:val="left" w:pos="426"/>
        </w:tabs>
        <w:kinsoku/>
        <w:wordWrap/>
        <w:overflowPunct/>
        <w:topLinePunct w:val="0"/>
        <w:autoSpaceDE/>
        <w:autoSpaceDN/>
        <w:bidi w:val="0"/>
        <w:adjustRightInd/>
        <w:snapToGrid/>
        <w:spacing w:beforeAutospacing="0" w:after="0" w:afterAutospacing="0" w:line="440" w:lineRule="exact"/>
        <w:ind w:left="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（十二）派遣员工患病、负伤或在孕期、产期和哺乳期内的，</w:t>
      </w:r>
      <w:r>
        <w:rPr>
          <w:rFonts w:hint="eastAsia" w:ascii="宋体" w:hAnsi="宋体" w:eastAsia="宋体" w:cs="宋体"/>
          <w:color w:val="auto"/>
          <w:szCs w:val="21"/>
          <w:highlight w:val="none"/>
          <w:lang w:val="en-US" w:eastAsia="zh-CN"/>
        </w:rPr>
        <w:t>按</w:t>
      </w:r>
      <w:r>
        <w:rPr>
          <w:rFonts w:hint="eastAsia" w:ascii="宋体" w:hAnsi="宋体" w:eastAsia="宋体" w:cs="宋体"/>
          <w:color w:val="auto"/>
          <w:szCs w:val="21"/>
          <w:highlight w:val="none"/>
        </w:rPr>
        <w:t>照国家有关规定，根据派遣人员</w:t>
      </w:r>
      <w:r>
        <w:rPr>
          <w:rFonts w:hint="eastAsia" w:ascii="宋体" w:hAnsi="宋体" w:eastAsia="宋体" w:cs="宋体"/>
          <w:color w:val="auto"/>
          <w:szCs w:val="21"/>
          <w:highlight w:val="none"/>
          <w:lang w:val="en-US" w:eastAsia="zh-CN"/>
        </w:rPr>
        <w:t>的工作</w:t>
      </w:r>
      <w:r>
        <w:rPr>
          <w:rFonts w:hint="eastAsia" w:ascii="宋体" w:hAnsi="宋体" w:eastAsia="宋体" w:cs="宋体"/>
          <w:color w:val="auto"/>
          <w:szCs w:val="21"/>
          <w:highlight w:val="none"/>
        </w:rPr>
        <w:t>年限，计算医疗期和享受相应假期。甲方在员工医疗期或假期中继续向乙方支付劳务费用。如在此期间乙方与其劳动合同期满，则需将其劳动合同延续至相应情形消失为止。</w:t>
      </w:r>
    </w:p>
    <w:p w14:paraId="5ECD3DDB">
      <w:pPr>
        <w:keepNext w:val="0"/>
        <w:keepLines w:val="0"/>
        <w:pageBreakBefore w:val="0"/>
        <w:widowControl/>
        <w:tabs>
          <w:tab w:val="left" w:pos="426"/>
        </w:tabs>
        <w:kinsoku/>
        <w:wordWrap/>
        <w:overflowPunct/>
        <w:topLinePunct w:val="0"/>
        <w:autoSpaceDE/>
        <w:autoSpaceDN/>
        <w:bidi w:val="0"/>
        <w:adjustRightInd/>
        <w:snapToGrid/>
        <w:spacing w:beforeAutospacing="0" w:after="0" w:afterAutospacing="0" w:line="440" w:lineRule="exact"/>
        <w:ind w:left="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十三）派遣员工的社会保险以及住房公积金的缴交基数由甲方指定，乙方根据当地政策法规向甲方提出建议，供甲方参考。若因甲方原因造成派遣员工参加社会保险及住房公积金的缴交基数与实际工资数额不符，而产生的责任应由甲方承担。因为乙方错缴、漏缴造成派遣员工参加社会保险及住房公积金的缴交基数与实际工资数额不符、所参加社会保险的险种缺少、发生工伤等事故无法索赔，而产生的责任应由乙方承担。</w:t>
      </w:r>
    </w:p>
    <w:p w14:paraId="52EC65C0">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left="1" w:firstLine="44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第五条   费用及结算</w:t>
      </w:r>
    </w:p>
    <w:p w14:paraId="507A5649">
      <w:pPr>
        <w:keepNext w:val="0"/>
        <w:keepLines w:val="0"/>
        <w:pageBreakBefore w:val="0"/>
        <w:widowControl/>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（一）甲方须支付给乙方费用如下：管理服务费、派遣人员的薪酬、社会保险费和住房公积金中单位和</w:t>
      </w:r>
      <w:r>
        <w:rPr>
          <w:rFonts w:hint="eastAsia" w:ascii="宋体" w:hAnsi="宋体" w:eastAsia="宋体" w:cs="宋体"/>
          <w:bCs/>
          <w:color w:val="auto"/>
          <w:szCs w:val="21"/>
          <w:highlight w:val="none"/>
        </w:rPr>
        <w:t>个人应缴纳部分</w:t>
      </w:r>
      <w:r>
        <w:rPr>
          <w:rFonts w:hint="eastAsia" w:ascii="宋体" w:hAnsi="宋体" w:eastAsia="宋体" w:cs="宋体"/>
          <w:bCs/>
          <w:color w:val="auto"/>
          <w:szCs w:val="21"/>
          <w:highlight w:val="none"/>
          <w:lang w:val="en-US" w:eastAsia="zh-CN"/>
        </w:rPr>
        <w:t>等以《结算表》约定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政府强制性收费项目如</w:t>
      </w:r>
      <w:r>
        <w:rPr>
          <w:rFonts w:hint="eastAsia" w:ascii="宋体" w:hAnsi="宋体" w:eastAsia="宋体" w:cs="宋体"/>
          <w:color w:val="auto"/>
          <w:szCs w:val="21"/>
          <w:highlight w:val="none"/>
        </w:rPr>
        <w:t>残疾人就业保障金</w:t>
      </w:r>
      <w:r>
        <w:rPr>
          <w:rFonts w:hint="eastAsia" w:ascii="宋体" w:hAnsi="宋体" w:eastAsia="宋体" w:cs="宋体"/>
          <w:color w:val="auto"/>
          <w:szCs w:val="21"/>
          <w:highlight w:val="none"/>
          <w:lang w:val="en-US" w:eastAsia="zh-CN"/>
        </w:rPr>
        <w:t>等，即时发生时计收</w:t>
      </w:r>
      <w:r>
        <w:rPr>
          <w:rFonts w:hint="eastAsia" w:ascii="宋体" w:hAnsi="宋体" w:eastAsia="宋体" w:cs="宋体"/>
          <w:color w:val="auto"/>
          <w:szCs w:val="21"/>
          <w:highlight w:val="none"/>
        </w:rPr>
        <w:t>。</w:t>
      </w:r>
    </w:p>
    <w:p w14:paraId="28BA0713">
      <w:pPr>
        <w:keepNext w:val="0"/>
        <w:keepLines w:val="0"/>
        <w:pageBreakBefore w:val="0"/>
        <w:widowControl/>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（二）甲方支付给乙方的管理服务费标准为：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元/人/月。</w:t>
      </w:r>
      <w:r>
        <w:rPr>
          <w:rFonts w:hint="eastAsia" w:ascii="宋体" w:hAnsi="宋体" w:eastAsia="宋体" w:cs="宋体"/>
          <w:color w:val="auto"/>
          <w:szCs w:val="21"/>
          <w:highlight w:val="none"/>
          <w:lang w:val="en-US" w:eastAsia="zh-CN"/>
        </w:rPr>
        <w:t>月度总服务费低于300</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val="en-US" w:eastAsia="zh-CN"/>
        </w:rPr>
        <w:t>时，按照300</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val="en-US" w:eastAsia="zh-CN"/>
        </w:rPr>
        <w:t>下限标准收取总服务费。当月总服务费高于300元（含300元）的，则按本协议约定的服务费单价*人数核算当月总服务费。</w:t>
      </w:r>
    </w:p>
    <w:p w14:paraId="16C30090">
      <w:pPr>
        <w:keepNext w:val="0"/>
        <w:keepLines w:val="0"/>
        <w:pageBreakBefore w:val="0"/>
        <w:widowControl/>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（三）甲方每月</w:t>
      </w:r>
      <w:r>
        <w:rPr>
          <w:rFonts w:hint="eastAsia" w:ascii="宋体" w:hAnsi="宋体" w:eastAsia="宋体" w:cs="宋体"/>
          <w:color w:val="auto"/>
          <w:szCs w:val="21"/>
          <w:highlight w:val="none"/>
          <w:u w:val="single"/>
          <w:lang w:val="en-US" w:eastAsia="zh-CN"/>
        </w:rPr>
        <w:t xml:space="preserve"> 15 </w:t>
      </w:r>
      <w:r>
        <w:rPr>
          <w:rFonts w:hint="eastAsia" w:ascii="宋体" w:hAnsi="宋体" w:eastAsia="宋体" w:cs="宋体"/>
          <w:color w:val="auto"/>
          <w:szCs w:val="21"/>
          <w:highlight w:val="none"/>
        </w:rPr>
        <w:t>日（含</w:t>
      </w:r>
      <w:r>
        <w:rPr>
          <w:rFonts w:hint="eastAsia" w:ascii="宋体" w:hAnsi="宋体" w:eastAsia="宋体" w:cs="宋体"/>
          <w:color w:val="auto"/>
          <w:szCs w:val="21"/>
          <w:highlight w:val="none"/>
          <w:u w:val="single"/>
          <w:lang w:val="en-US" w:eastAsia="zh-CN"/>
        </w:rPr>
        <w:t xml:space="preserve"> 15 </w:t>
      </w:r>
      <w:r>
        <w:rPr>
          <w:rFonts w:hint="eastAsia" w:ascii="宋体" w:hAnsi="宋体" w:eastAsia="宋体" w:cs="宋体"/>
          <w:color w:val="auto"/>
          <w:szCs w:val="21"/>
          <w:highlight w:val="none"/>
        </w:rPr>
        <w:t>日）前截止增减员数据申报，否则应承担相应责任。</w:t>
      </w:r>
    </w:p>
    <w:p w14:paraId="41749178">
      <w:pPr>
        <w:keepNext w:val="0"/>
        <w:keepLines w:val="0"/>
        <w:pageBreakBefore w:val="0"/>
        <w:widowControl/>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 xml:space="preserve">   （四）</w:t>
      </w:r>
      <w:r>
        <w:rPr>
          <w:rFonts w:hint="eastAsia" w:ascii="宋体" w:hAnsi="宋体" w:eastAsia="宋体" w:cs="宋体"/>
          <w:bCs/>
          <w:color w:val="auto"/>
          <w:szCs w:val="21"/>
          <w:highlight w:val="none"/>
        </w:rPr>
        <w:t>双方</w:t>
      </w:r>
      <w:r>
        <w:rPr>
          <w:rFonts w:hint="eastAsia" w:ascii="宋体" w:hAnsi="宋体" w:eastAsia="宋体" w:cs="宋体"/>
          <w:bCs/>
          <w:color w:val="auto"/>
          <w:szCs w:val="21"/>
          <w:highlight w:val="none"/>
          <w:lang w:val="en-US" w:eastAsia="zh-CN"/>
        </w:rPr>
        <w:t>约</w:t>
      </w:r>
      <w:r>
        <w:rPr>
          <w:rFonts w:hint="eastAsia" w:ascii="宋体" w:hAnsi="宋体" w:eastAsia="宋体" w:cs="宋体"/>
          <w:bCs/>
          <w:color w:val="auto"/>
          <w:szCs w:val="21"/>
          <w:highlight w:val="none"/>
        </w:rPr>
        <w:t>定，以乙方《</w:t>
      </w:r>
      <w:r>
        <w:rPr>
          <w:rFonts w:hint="eastAsia" w:ascii="宋体" w:hAnsi="宋体" w:eastAsia="宋体" w:cs="宋体"/>
          <w:bCs/>
          <w:color w:val="auto"/>
          <w:szCs w:val="21"/>
          <w:highlight w:val="none"/>
          <w:lang w:val="en-US" w:eastAsia="zh-CN"/>
        </w:rPr>
        <w:t>结算</w:t>
      </w:r>
      <w:r>
        <w:rPr>
          <w:rFonts w:hint="eastAsia" w:ascii="宋体" w:hAnsi="宋体" w:eastAsia="宋体" w:cs="宋体"/>
          <w:bCs/>
          <w:color w:val="auto"/>
          <w:szCs w:val="21"/>
          <w:highlight w:val="none"/>
        </w:rPr>
        <w:t>表》为当月服务费的结算依据。乙方《</w:t>
      </w:r>
      <w:r>
        <w:rPr>
          <w:rFonts w:hint="eastAsia" w:ascii="宋体" w:hAnsi="宋体" w:eastAsia="宋体" w:cs="宋体"/>
          <w:bCs/>
          <w:color w:val="auto"/>
          <w:szCs w:val="21"/>
          <w:highlight w:val="none"/>
          <w:lang w:val="en-US" w:eastAsia="zh-CN"/>
        </w:rPr>
        <w:t>结算</w:t>
      </w:r>
      <w:r>
        <w:rPr>
          <w:rFonts w:hint="eastAsia" w:ascii="宋体" w:hAnsi="宋体" w:eastAsia="宋体" w:cs="宋体"/>
          <w:bCs/>
          <w:color w:val="auto"/>
          <w:szCs w:val="21"/>
          <w:highlight w:val="none"/>
        </w:rPr>
        <w:t>表》每月</w:t>
      </w:r>
      <w:r>
        <w:rPr>
          <w:rFonts w:hint="eastAsia" w:ascii="宋体" w:hAnsi="宋体" w:eastAsia="宋体" w:cs="宋体"/>
          <w:bCs/>
          <w:color w:val="auto"/>
          <w:szCs w:val="21"/>
          <w:highlight w:val="none"/>
          <w:u w:val="single"/>
        </w:rPr>
        <w:t>2</w:t>
      </w:r>
      <w:r>
        <w:rPr>
          <w:rFonts w:hint="eastAsia" w:ascii="宋体" w:hAnsi="宋体" w:eastAsia="宋体" w:cs="宋体"/>
          <w:bCs/>
          <w:color w:val="auto"/>
          <w:szCs w:val="21"/>
          <w:highlight w:val="none"/>
          <w:u w:val="single"/>
          <w:lang w:val="en-US" w:eastAsia="zh-CN"/>
        </w:rPr>
        <w:t>0</w:t>
      </w:r>
      <w:r>
        <w:rPr>
          <w:rFonts w:hint="eastAsia" w:ascii="宋体" w:hAnsi="宋体" w:eastAsia="宋体" w:cs="宋体"/>
          <w:bCs/>
          <w:color w:val="auto"/>
          <w:szCs w:val="21"/>
          <w:highlight w:val="none"/>
        </w:rPr>
        <w:t>日前发出，甲方当月收到后</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3</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rPr>
        <w:t>个工作日内确认，并在</w:t>
      </w:r>
      <w:r>
        <w:rPr>
          <w:rFonts w:hint="eastAsia" w:ascii="宋体" w:hAnsi="宋体" w:eastAsia="宋体" w:cs="宋体"/>
          <w:bCs/>
          <w:color w:val="auto"/>
          <w:szCs w:val="21"/>
          <w:highlight w:val="none"/>
          <w:lang w:val="en-US" w:eastAsia="zh-CN"/>
        </w:rPr>
        <w:t>每</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lang w:val="en-US" w:eastAsia="zh-CN"/>
        </w:rPr>
        <w:t>25</w:t>
      </w:r>
      <w:r>
        <w:rPr>
          <w:rFonts w:hint="eastAsia" w:ascii="宋体" w:hAnsi="宋体" w:eastAsia="宋体" w:cs="宋体"/>
          <w:bCs/>
          <w:color w:val="auto"/>
          <w:szCs w:val="21"/>
          <w:highlight w:val="none"/>
        </w:rPr>
        <w:t>日前一次性付款至乙方帐户（如遇法定节假日，自动提前）；乙方在确认费用到帐后</w:t>
      </w:r>
      <w:r>
        <w:rPr>
          <w:rFonts w:hint="eastAsia" w:ascii="宋体" w:hAnsi="宋体" w:eastAsia="宋体" w:cs="宋体"/>
          <w:bCs/>
          <w:color w:val="auto"/>
          <w:szCs w:val="21"/>
          <w:highlight w:val="none"/>
          <w:u w:val="single"/>
        </w:rPr>
        <w:t xml:space="preserve"> 3</w:t>
      </w:r>
      <w:r>
        <w:rPr>
          <w:rFonts w:hint="eastAsia" w:ascii="宋体" w:hAnsi="宋体" w:eastAsia="宋体" w:cs="宋体"/>
          <w:bCs/>
          <w:color w:val="auto"/>
          <w:szCs w:val="21"/>
          <w:highlight w:val="none"/>
        </w:rPr>
        <w:t>日内向甲方出具正式发票。服务费属于人力资源服务营业性收费，应开具</w:t>
      </w:r>
      <w:r>
        <w:rPr>
          <w:rFonts w:hint="eastAsia" w:ascii="宋体" w:hAnsi="宋体" w:eastAsia="宋体" w:cs="宋体"/>
          <w:bCs/>
          <w:color w:val="auto"/>
          <w:szCs w:val="21"/>
          <w:highlight w:val="none"/>
          <w:lang w:val="en-US" w:eastAsia="zh-CN"/>
        </w:rPr>
        <w:t>增值税专</w:t>
      </w:r>
      <w:r>
        <w:rPr>
          <w:rFonts w:hint="eastAsia" w:ascii="宋体" w:hAnsi="宋体" w:eastAsia="宋体" w:cs="宋体"/>
          <w:bCs/>
          <w:color w:val="auto"/>
          <w:szCs w:val="21"/>
          <w:highlight w:val="none"/>
        </w:rPr>
        <w:t>票；而工资、社保、公积金等代付费用属于代收代付费用，应根据当地税务实际规定开具收据或代收代付</w:t>
      </w:r>
      <w:r>
        <w:rPr>
          <w:rFonts w:hint="eastAsia" w:ascii="宋体" w:hAnsi="宋体" w:eastAsia="宋体" w:cs="宋体"/>
          <w:bCs/>
          <w:color w:val="auto"/>
          <w:szCs w:val="21"/>
          <w:highlight w:val="none"/>
          <w:lang w:val="en-US" w:eastAsia="zh-CN"/>
        </w:rPr>
        <w:t>普</w:t>
      </w:r>
      <w:r>
        <w:rPr>
          <w:rFonts w:hint="eastAsia" w:ascii="宋体" w:hAnsi="宋体" w:eastAsia="宋体" w:cs="宋体"/>
          <w:bCs/>
          <w:color w:val="auto"/>
          <w:szCs w:val="21"/>
          <w:highlight w:val="none"/>
        </w:rPr>
        <w:t>票。</w:t>
      </w:r>
    </w:p>
    <w:p w14:paraId="5569D323">
      <w:pPr>
        <w:keepNext w:val="0"/>
        <w:keepLines w:val="0"/>
        <w:pageBreakBefore w:val="0"/>
        <w:widowControl/>
        <w:tabs>
          <w:tab w:val="left" w:pos="426"/>
        </w:tabs>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w:t>
      </w:r>
      <w:r>
        <w:rPr>
          <w:rFonts w:hint="eastAsia" w:ascii="宋体" w:hAnsi="宋体" w:eastAsia="宋体" w:cs="宋体"/>
          <w:color w:val="auto"/>
          <w:szCs w:val="21"/>
          <w:highlight w:val="none"/>
        </w:rPr>
        <w:t>（五）</w:t>
      </w:r>
      <w:r>
        <w:rPr>
          <w:rFonts w:hint="eastAsia" w:ascii="宋体" w:hAnsi="宋体" w:eastAsia="宋体" w:cs="宋体"/>
          <w:bCs/>
          <w:color w:val="auto"/>
          <w:szCs w:val="21"/>
          <w:highlight w:val="none"/>
        </w:rPr>
        <w:t>甲乙双方账户信息</w:t>
      </w:r>
    </w:p>
    <w:p w14:paraId="4BD181BC">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42" w:firstLineChars="200"/>
        <w:textAlignment w:val="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甲方信息:</w:t>
      </w:r>
    </w:p>
    <w:p w14:paraId="0B8FFA42">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660" w:firstLineChars="3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发票</w:t>
      </w:r>
      <w:r>
        <w:rPr>
          <w:rFonts w:hint="eastAsia" w:ascii="宋体" w:hAnsi="宋体" w:eastAsia="宋体" w:cs="宋体"/>
          <w:bCs/>
          <w:color w:val="auto"/>
          <w:szCs w:val="21"/>
          <w:highlight w:val="none"/>
        </w:rPr>
        <w:t xml:space="preserve">名称:                                  </w:t>
      </w:r>
    </w:p>
    <w:p w14:paraId="4ABFB9B0">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660" w:firstLineChars="3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付款方名称:                             </w:t>
      </w:r>
    </w:p>
    <w:p w14:paraId="050E0C72">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660" w:firstLineChars="3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纳税人识别号:                           </w:t>
      </w:r>
      <w:r>
        <w:rPr>
          <w:rFonts w:hint="eastAsia" w:ascii="宋体" w:hAnsi="宋体" w:eastAsia="宋体" w:cs="宋体"/>
          <w:bCs/>
          <w:color w:val="auto"/>
          <w:szCs w:val="21"/>
          <w:highlight w:val="none"/>
          <w:lang w:val="en-US" w:eastAsia="zh-CN"/>
        </w:rPr>
        <w:t>银行</w:t>
      </w:r>
      <w:r>
        <w:rPr>
          <w:rFonts w:hint="eastAsia" w:ascii="宋体" w:hAnsi="宋体" w:eastAsia="宋体" w:cs="宋体"/>
          <w:bCs/>
          <w:color w:val="auto"/>
          <w:szCs w:val="21"/>
          <w:highlight w:val="none"/>
        </w:rPr>
        <w:t xml:space="preserve">账号:                 </w:t>
      </w:r>
    </w:p>
    <w:p w14:paraId="634B2B6F">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660" w:firstLineChars="3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开户行名称:                            </w:t>
      </w:r>
    </w:p>
    <w:p w14:paraId="71341A56">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42" w:firstLineChars="200"/>
        <w:textAlignment w:val="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乙方信息</w:t>
      </w:r>
      <w:r>
        <w:rPr>
          <w:rFonts w:hint="eastAsia" w:ascii="宋体" w:hAnsi="宋体" w:eastAsia="宋体" w:cs="宋体"/>
          <w:b/>
          <w:color w:val="auto"/>
          <w:szCs w:val="21"/>
          <w:highlight w:val="none"/>
          <w:u w:val="single"/>
          <w:lang w:val="en-US" w:eastAsia="zh-CN"/>
        </w:rPr>
        <w:t xml:space="preserve"> </w:t>
      </w:r>
      <w:r>
        <w:rPr>
          <w:rFonts w:hint="eastAsia" w:ascii="宋体" w:hAnsi="宋体" w:eastAsia="宋体" w:cs="宋体"/>
          <w:b/>
          <w:color w:val="auto"/>
          <w:szCs w:val="21"/>
          <w:highlight w:val="none"/>
          <w:u w:val="single"/>
        </w:rPr>
        <w:t>：</w:t>
      </w:r>
    </w:p>
    <w:p w14:paraId="002DB7F6">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660" w:firstLineChars="30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开户行：</w:t>
      </w:r>
    </w:p>
    <w:p w14:paraId="18706C80">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660" w:firstLineChars="30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开户银行账号：</w:t>
      </w:r>
    </w:p>
    <w:p w14:paraId="511A156E">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660" w:firstLineChars="30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 xml:space="preserve">公司名称：                       税号： </w:t>
      </w:r>
    </w:p>
    <w:p w14:paraId="6D319531">
      <w:pPr>
        <w:keepNext w:val="0"/>
        <w:keepLines w:val="0"/>
        <w:pageBreakBefore w:val="0"/>
        <w:widowControl/>
        <w:tabs>
          <w:tab w:val="left" w:pos="426"/>
        </w:tabs>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（六）派遣员工薪酬由甲方根据其相关办法进行考核，并按月向乙方出具派遣员工薪酬发放标准，乙方应在每月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日前按甲方提供的薪酬发放标准支付派遣员工</w:t>
      </w:r>
      <w:r>
        <w:rPr>
          <w:rFonts w:hint="eastAsia" w:ascii="宋体" w:hAnsi="宋体" w:eastAsia="宋体" w:cs="宋体"/>
          <w:color w:val="auto"/>
          <w:szCs w:val="21"/>
          <w:highlight w:val="none"/>
          <w:u w:val="single"/>
        </w:rPr>
        <w:sym w:font="Wingdings" w:char="006F"/>
      </w:r>
      <w:r>
        <w:rPr>
          <w:rFonts w:hint="eastAsia" w:ascii="宋体" w:hAnsi="宋体" w:eastAsia="宋体" w:cs="宋体"/>
          <w:color w:val="auto"/>
          <w:szCs w:val="21"/>
          <w:highlight w:val="none"/>
          <w:u w:val="single"/>
          <w:lang w:val="en-US" w:eastAsia="zh-CN"/>
        </w:rPr>
        <w:t>上月</w:t>
      </w:r>
      <w:r>
        <w:rPr>
          <w:rFonts w:hint="eastAsia" w:ascii="宋体" w:hAnsi="宋体" w:eastAsia="宋体" w:cs="宋体"/>
          <w:color w:val="auto"/>
          <w:szCs w:val="21"/>
          <w:highlight w:val="none"/>
          <w:u w:val="single"/>
          <w:lang w:val="en-US" w:eastAsia="zh-CN"/>
        </w:rPr>
        <w:sym w:font="Wingdings" w:char="006F"/>
      </w:r>
      <w:r>
        <w:rPr>
          <w:rFonts w:hint="eastAsia" w:ascii="宋体" w:hAnsi="宋体" w:eastAsia="宋体" w:cs="宋体"/>
          <w:color w:val="auto"/>
          <w:szCs w:val="21"/>
          <w:highlight w:val="none"/>
          <w:u w:val="single"/>
          <w:lang w:val="en-US" w:eastAsia="zh-CN"/>
        </w:rPr>
        <w:t>当月</w:t>
      </w:r>
      <w:r>
        <w:rPr>
          <w:rFonts w:hint="eastAsia" w:ascii="宋体" w:hAnsi="宋体" w:eastAsia="宋体" w:cs="宋体"/>
          <w:color w:val="auto"/>
          <w:szCs w:val="21"/>
          <w:highlight w:val="none"/>
          <w:u w:val="single"/>
          <w:lang w:val="en-US" w:eastAsia="zh-CN"/>
        </w:rPr>
        <w:sym w:font="Wingdings" w:char="006F"/>
      </w:r>
      <w:r>
        <w:rPr>
          <w:rFonts w:hint="eastAsia" w:ascii="宋体" w:hAnsi="宋体" w:eastAsia="宋体" w:cs="宋体"/>
          <w:color w:val="auto"/>
          <w:szCs w:val="21"/>
          <w:highlight w:val="none"/>
          <w:u w:val="single"/>
          <w:lang w:val="en-US" w:eastAsia="zh-CN"/>
        </w:rPr>
        <w:t>次月</w:t>
      </w:r>
      <w:r>
        <w:rPr>
          <w:rFonts w:hint="eastAsia" w:ascii="宋体" w:hAnsi="宋体" w:eastAsia="宋体" w:cs="宋体"/>
          <w:color w:val="auto"/>
          <w:szCs w:val="21"/>
          <w:highlight w:val="none"/>
        </w:rPr>
        <w:t>薪酬。乙方未经甲方同意，不得单方降低或提高派遣员工工资标准。</w:t>
      </w:r>
    </w:p>
    <w:p w14:paraId="506AF85F">
      <w:pPr>
        <w:keepNext w:val="0"/>
        <w:keepLines w:val="0"/>
        <w:pageBreakBefore w:val="0"/>
        <w:widowControl/>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（七）如派遣员工工作不满一个月，则根据国家有关规定确定的日工资标准，按实际工作日计算其报酬。</w:t>
      </w:r>
    </w:p>
    <w:p w14:paraId="61D55C37">
      <w:pPr>
        <w:keepNext w:val="0"/>
        <w:keepLines w:val="0"/>
        <w:pageBreakBefore w:val="0"/>
        <w:widowControl/>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八）乙方应及时为派遣员工办理社会保险（含基本养老保险、基本医疗保险、失业保险、生育保险、工伤保险）及缴纳住房公积金；根据社会保险的缴费规定，社会保险费及住房公积金中单位支付部分，由甲方核定，乙方核算后，从甲方支付的费用中缴纳，社会保险费及住房公积金中由个人支付部分、应缴纳的个人所得税由乙方代为扣缴。</w:t>
      </w:r>
    </w:p>
    <w:p w14:paraId="1623E7E8">
      <w:pPr>
        <w:keepNext w:val="0"/>
        <w:keepLines w:val="0"/>
        <w:pageBreakBefore w:val="0"/>
        <w:widowControl/>
        <w:tabs>
          <w:tab w:val="left" w:pos="426"/>
        </w:tabs>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（九）本协议期限内每逢一个新的社会保险、住房公积金年度，甲方向乙方支付的总费用中有关社会保险费、住房公积金的付费标准，应按照当地政府颁布的调整比例做相应的调整。</w:t>
      </w:r>
    </w:p>
    <w:p w14:paraId="206C598D">
      <w:pPr>
        <w:keepNext w:val="0"/>
        <w:keepLines w:val="0"/>
        <w:pageBreakBefore w:val="0"/>
        <w:widowControl/>
        <w:tabs>
          <w:tab w:val="left" w:pos="426"/>
        </w:tabs>
        <w:kinsoku/>
        <w:wordWrap/>
        <w:overflowPunct/>
        <w:topLinePunct w:val="0"/>
        <w:autoSpaceDE/>
        <w:autoSpaceDN/>
        <w:bidi w:val="0"/>
        <w:adjustRightInd/>
        <w:snapToGrid/>
        <w:spacing w:beforeAutospacing="0" w:after="0" w:afterAutospacing="0" w:line="440" w:lineRule="exact"/>
        <w:ind w:firstLine="44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第六条  协议解除</w:t>
      </w:r>
    </w:p>
    <w:p w14:paraId="75C60656">
      <w:pPr>
        <w:keepNext w:val="0"/>
        <w:keepLines w:val="0"/>
        <w:pageBreakBefore w:val="0"/>
        <w:widowControl/>
        <w:tabs>
          <w:tab w:val="left" w:pos="426"/>
        </w:tabs>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（一）在下列情况下，甲方可解除协议。</w:t>
      </w:r>
    </w:p>
    <w:p w14:paraId="6AA434F7">
      <w:pPr>
        <w:keepNext w:val="0"/>
        <w:keepLines w:val="0"/>
        <w:pageBreakBefore w:val="0"/>
        <w:widowControl/>
        <w:tabs>
          <w:tab w:val="left" w:pos="426"/>
        </w:tabs>
        <w:kinsoku/>
        <w:wordWrap/>
        <w:overflowPunct/>
        <w:topLinePunct w:val="0"/>
        <w:autoSpaceDE/>
        <w:autoSpaceDN/>
        <w:bidi w:val="0"/>
        <w:adjustRightInd/>
        <w:snapToGrid/>
        <w:spacing w:beforeAutospacing="0" w:after="0" w:afterAutospacing="0" w:line="440" w:lineRule="exact"/>
        <w:ind w:firstLine="550"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1、乙方未按照约定为派遣员工足额支付工资、缴纳社会保险费；</w:t>
      </w:r>
    </w:p>
    <w:p w14:paraId="0574204D">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2、派遣员工在甲方场所工作期间，故意或过失给甲方造成重大经济损失，且乙方不积极配合协调处理。</w:t>
      </w:r>
    </w:p>
    <w:p w14:paraId="637086BD">
      <w:pPr>
        <w:keepNext w:val="0"/>
        <w:keepLines w:val="0"/>
        <w:pageBreakBefore w:val="0"/>
        <w:widowControl/>
        <w:tabs>
          <w:tab w:val="left" w:pos="426"/>
        </w:tabs>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（二）在下列情况下，乙方可解除协议。</w:t>
      </w:r>
    </w:p>
    <w:p w14:paraId="2C8A388D">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1、甲方无正当理由拒付或拖欠费用；                                                                                                                                                                                                                                        </w:t>
      </w:r>
    </w:p>
    <w:p w14:paraId="14AC923B">
      <w:pPr>
        <w:keepNext w:val="0"/>
        <w:keepLines w:val="0"/>
        <w:pageBreakBefore w:val="0"/>
        <w:widowControl/>
        <w:tabs>
          <w:tab w:val="left" w:pos="7200"/>
        </w:tabs>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2、甲方未执行国家标准，未提供相应的劳动条件和劳动保护；</w:t>
      </w:r>
    </w:p>
    <w:p w14:paraId="16AA4E0B">
      <w:pPr>
        <w:keepNext w:val="0"/>
        <w:keepLines w:val="0"/>
        <w:pageBreakBefore w:val="0"/>
        <w:widowControl/>
        <w:tabs>
          <w:tab w:val="left" w:pos="7200"/>
        </w:tabs>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3、以暴力、威胁或者非法限制人身自由的手段强迫派遣员工提供劳务的。  </w:t>
      </w:r>
    </w:p>
    <w:p w14:paraId="3D4EAB65">
      <w:pPr>
        <w:keepNext w:val="0"/>
        <w:keepLines w:val="0"/>
        <w:pageBreakBefore w:val="0"/>
        <w:widowControl/>
        <w:tabs>
          <w:tab w:val="left" w:pos="7200"/>
        </w:tabs>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（三）协议期内，甲方因客观原因需要提前解除协议，必须提前</w:t>
      </w:r>
      <w:r>
        <w:rPr>
          <w:rFonts w:hint="eastAsia" w:ascii="宋体" w:hAnsi="宋体" w:eastAsia="宋体" w:cs="宋体"/>
          <w:bCs/>
          <w:color w:val="auto"/>
          <w:szCs w:val="21"/>
          <w:highlight w:val="none"/>
          <w:lang w:val="en-US" w:eastAsia="zh-CN"/>
        </w:rPr>
        <w:t>三</w:t>
      </w:r>
      <w:r>
        <w:rPr>
          <w:rFonts w:hint="eastAsia" w:ascii="宋体" w:hAnsi="宋体" w:eastAsia="宋体" w:cs="宋体"/>
          <w:bCs/>
          <w:color w:val="auto"/>
          <w:szCs w:val="21"/>
          <w:highlight w:val="none"/>
        </w:rPr>
        <w:t>个月书面通知乙方，并取得乙方同意，否则按违约时前</w:t>
      </w:r>
      <w:r>
        <w:rPr>
          <w:rFonts w:hint="eastAsia" w:ascii="宋体" w:hAnsi="宋体" w:eastAsia="宋体" w:cs="宋体"/>
          <w:bCs/>
          <w:color w:val="auto"/>
          <w:szCs w:val="21"/>
          <w:highlight w:val="none"/>
          <w:lang w:val="en-US" w:eastAsia="zh-CN"/>
        </w:rPr>
        <w:t>两</w:t>
      </w:r>
      <w:r>
        <w:rPr>
          <w:rFonts w:hint="eastAsia" w:ascii="宋体" w:hAnsi="宋体" w:eastAsia="宋体" w:cs="宋体"/>
          <w:bCs/>
          <w:color w:val="auto"/>
          <w:szCs w:val="21"/>
          <w:highlight w:val="none"/>
        </w:rPr>
        <w:t>个月</w:t>
      </w:r>
      <w:r>
        <w:rPr>
          <w:rFonts w:hint="eastAsia" w:ascii="宋体" w:hAnsi="宋体" w:eastAsia="宋体" w:cs="宋体"/>
          <w:bCs/>
          <w:color w:val="auto"/>
          <w:szCs w:val="21"/>
          <w:highlight w:val="none"/>
          <w:lang w:val="en-US" w:eastAsia="zh-CN"/>
        </w:rPr>
        <w:t>服务</w:t>
      </w:r>
      <w:r>
        <w:rPr>
          <w:rFonts w:hint="eastAsia" w:ascii="宋体" w:hAnsi="宋体" w:eastAsia="宋体" w:cs="宋体"/>
          <w:bCs/>
          <w:color w:val="auto"/>
          <w:szCs w:val="21"/>
          <w:highlight w:val="none"/>
        </w:rPr>
        <w:t>费总额支付给乙方违约金，由甲方负责安置员工并承担相应的法律责任。</w:t>
      </w:r>
    </w:p>
    <w:p w14:paraId="2554F0F3">
      <w:pPr>
        <w:keepNext w:val="0"/>
        <w:keepLines w:val="0"/>
        <w:pageBreakBefore w:val="0"/>
        <w:widowControl/>
        <w:tabs>
          <w:tab w:val="left" w:pos="7200"/>
        </w:tabs>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协议期内，因甲乙双方任一方过错，已造成另一方不能继续履行合作的客观事实的，无过错方可提出解除协议。协议解除后，由过错方负责安置派遣员工并承担相关责任，包括并不限于涉及劳动争议、需要经济补偿、赔偿等法律规定应由用人单位承担的所有责任。</w:t>
      </w:r>
    </w:p>
    <w:p w14:paraId="505F9D40">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40" w:firstLineChars="199"/>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第七条  违约和赔偿责任</w:t>
      </w:r>
    </w:p>
    <w:p w14:paraId="3C561947">
      <w:pPr>
        <w:keepNext w:val="0"/>
        <w:keepLines w:val="0"/>
        <w:pageBreakBefore w:val="0"/>
        <w:widowControl/>
        <w:tabs>
          <w:tab w:val="left" w:pos="426"/>
          <w:tab w:val="left" w:pos="7200"/>
        </w:tabs>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（一）甲方未经协商乙方并取得一致认可的情况下，拖欠乙方费用，应按每日万分之八的标准向乙方支付资金占用费，并由甲方承担相应的法律责任和经济损失。</w:t>
      </w:r>
    </w:p>
    <w:p w14:paraId="24A93935">
      <w:pPr>
        <w:keepNext w:val="0"/>
        <w:keepLines w:val="0"/>
        <w:pageBreakBefore w:val="0"/>
        <w:widowControl/>
        <w:tabs>
          <w:tab w:val="left" w:pos="7200"/>
        </w:tabs>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（二）由于乙方输出的派遣员</w:t>
      </w:r>
      <w:r>
        <w:rPr>
          <w:rFonts w:hint="eastAsia" w:ascii="宋体" w:hAnsi="宋体" w:eastAsia="宋体" w:cs="宋体"/>
          <w:color w:val="auto"/>
          <w:szCs w:val="21"/>
          <w:highlight w:val="none"/>
          <w:lang w:val="en-US" w:eastAsia="zh-CN"/>
        </w:rPr>
        <w:t>工</w:t>
      </w:r>
      <w:r>
        <w:rPr>
          <w:rFonts w:hint="eastAsia" w:ascii="宋体" w:hAnsi="宋体" w:eastAsia="宋体" w:cs="宋体"/>
          <w:color w:val="auto"/>
          <w:szCs w:val="21"/>
          <w:highlight w:val="none"/>
        </w:rPr>
        <w:t>故意或者重大过错给甲方造成损失的，乙方有义务协助甲方向派遣员工索赔，并追究当事人法律责任；派遣员工利用工作便利构成犯罪给甲方或第三方造成损失的，甲乙双方共同向司法机关提供证据并追究当事人的法律责任，并向当事人追偿相关损失。</w:t>
      </w:r>
    </w:p>
    <w:p w14:paraId="23CC5B1B">
      <w:pPr>
        <w:keepNext w:val="0"/>
        <w:keepLines w:val="0"/>
        <w:pageBreakBefore w:val="0"/>
        <w:widowControl/>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（三）乙方应采取措施保持派遣人员的相对稳定性，未经甲方同意，乙方不得随意调换或增减派遣人员。</w:t>
      </w:r>
    </w:p>
    <w:p w14:paraId="709F7101">
      <w:pPr>
        <w:keepNext w:val="0"/>
        <w:keepLines w:val="0"/>
        <w:pageBreakBefore w:val="0"/>
        <w:widowControl/>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（四）协议期内，甲乙任何一方，因客观原因需要提前解除协议，必须提前三个月书面通知对方，并取得对方同意，否则按违约时前</w:t>
      </w:r>
      <w:r>
        <w:rPr>
          <w:rFonts w:hint="eastAsia" w:ascii="宋体" w:hAnsi="宋体" w:eastAsia="宋体" w:cs="宋体"/>
          <w:color w:val="auto"/>
          <w:szCs w:val="21"/>
          <w:highlight w:val="none"/>
          <w:lang w:val="en-US" w:eastAsia="zh-CN"/>
        </w:rPr>
        <w:t>两</w:t>
      </w:r>
      <w:r>
        <w:rPr>
          <w:rFonts w:hint="eastAsia" w:ascii="宋体" w:hAnsi="宋体" w:eastAsia="宋体" w:cs="宋体"/>
          <w:color w:val="auto"/>
          <w:szCs w:val="21"/>
          <w:highlight w:val="none"/>
        </w:rPr>
        <w:t>个月</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 xml:space="preserve">费总额支付给对方违约金，如造成损失的，需承担相应的赔偿责任。但有本协议中第六条第（二）、（四）中的情形除外。                                 </w:t>
      </w:r>
    </w:p>
    <w:p w14:paraId="4042E6E0">
      <w:pPr>
        <w:keepNext w:val="0"/>
        <w:keepLines w:val="0"/>
        <w:pageBreakBefore w:val="0"/>
        <w:widowControl/>
        <w:tabs>
          <w:tab w:val="left" w:pos="426"/>
        </w:tabs>
        <w:kinsoku/>
        <w:wordWrap/>
        <w:overflowPunct/>
        <w:topLinePunct w:val="0"/>
        <w:autoSpaceDE/>
        <w:autoSpaceDN/>
        <w:bidi w:val="0"/>
        <w:adjustRightInd/>
        <w:snapToGrid/>
        <w:spacing w:beforeAutospacing="0" w:after="0" w:afterAutospacing="0" w:line="440" w:lineRule="exact"/>
        <w:ind w:left="0" w:firstLine="44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（五）</w:t>
      </w:r>
      <w:r>
        <w:rPr>
          <w:rFonts w:hint="eastAsia" w:ascii="宋体" w:hAnsi="宋体" w:eastAsia="宋体" w:cs="宋体"/>
          <w:bCs/>
          <w:color w:val="auto"/>
          <w:szCs w:val="21"/>
          <w:highlight w:val="none"/>
        </w:rPr>
        <w:t>如员工依据本协议派遣行为而发生劳动纠纷提起仲裁、诉讼，甲乙双方均负有举证责任。甲方</w:t>
      </w:r>
      <w:r>
        <w:rPr>
          <w:rFonts w:hint="eastAsia" w:ascii="宋体" w:hAnsi="宋体" w:eastAsia="宋体" w:cs="宋体"/>
          <w:bCs/>
          <w:color w:val="auto"/>
          <w:szCs w:val="21"/>
          <w:highlight w:val="none"/>
          <w:lang w:val="en-US" w:eastAsia="zh-CN"/>
        </w:rPr>
        <w:t>依据本协议第三条（一）将派遣员工退回乙方，</w:t>
      </w:r>
      <w:r>
        <w:rPr>
          <w:rFonts w:hint="eastAsia" w:ascii="宋体" w:hAnsi="宋体" w:eastAsia="宋体" w:cs="宋体"/>
          <w:color w:val="auto"/>
          <w:szCs w:val="21"/>
          <w:highlight w:val="none"/>
        </w:rPr>
        <w:t>乙方因此解除与派遣员工的劳动关系，事后甲方无法律有效证据证实上述情形存在，</w:t>
      </w:r>
      <w:r>
        <w:rPr>
          <w:rFonts w:hint="eastAsia" w:ascii="宋体" w:hAnsi="宋体" w:eastAsia="宋体" w:cs="宋体"/>
          <w:bCs/>
          <w:color w:val="auto"/>
          <w:szCs w:val="21"/>
          <w:highlight w:val="none"/>
          <w:lang w:val="en-US" w:eastAsia="zh-CN"/>
        </w:rPr>
        <w:t>及派遣员工依据《劳动合同法》第三十八条辞职后向乙方</w:t>
      </w:r>
      <w:r>
        <w:rPr>
          <w:rFonts w:hint="eastAsia" w:ascii="宋体" w:hAnsi="宋体" w:eastAsia="宋体" w:cs="宋体"/>
          <w:color w:val="auto"/>
          <w:szCs w:val="21"/>
          <w:highlight w:val="none"/>
        </w:rPr>
        <w:t>主张或经法律途径裁判决由乙方承担补赔偿责任的</w:t>
      </w:r>
      <w:r>
        <w:rPr>
          <w:rFonts w:hint="eastAsia" w:ascii="宋体" w:hAnsi="宋体" w:eastAsia="宋体" w:cs="宋体"/>
          <w:color w:val="auto"/>
          <w:szCs w:val="21"/>
          <w:highlight w:val="none"/>
          <w:lang w:eastAsia="zh-CN"/>
        </w:rPr>
        <w:t>，</w:t>
      </w:r>
      <w:r>
        <w:rPr>
          <w:rFonts w:hint="eastAsia" w:ascii="宋体" w:hAnsi="宋体" w:eastAsia="宋体" w:cs="宋体"/>
          <w:bCs/>
          <w:color w:val="auto"/>
          <w:szCs w:val="21"/>
          <w:highlight w:val="none"/>
          <w:lang w:val="en-US" w:eastAsia="zh-CN"/>
        </w:rPr>
        <w:t>甲方</w:t>
      </w:r>
      <w:r>
        <w:rPr>
          <w:rFonts w:hint="eastAsia" w:ascii="宋体" w:hAnsi="宋体" w:eastAsia="宋体" w:cs="宋体"/>
          <w:bCs/>
          <w:color w:val="auto"/>
          <w:szCs w:val="21"/>
          <w:highlight w:val="none"/>
        </w:rPr>
        <w:t>应</w:t>
      </w:r>
      <w:r>
        <w:rPr>
          <w:rFonts w:hint="eastAsia" w:ascii="宋体" w:hAnsi="宋体" w:eastAsia="宋体" w:cs="宋体"/>
          <w:bCs/>
          <w:color w:val="auto"/>
          <w:szCs w:val="21"/>
          <w:highlight w:val="none"/>
          <w:lang w:val="en-US" w:eastAsia="zh-CN"/>
        </w:rPr>
        <w:t>向乙方</w:t>
      </w:r>
      <w:r>
        <w:rPr>
          <w:rFonts w:hint="eastAsia" w:ascii="宋体" w:hAnsi="宋体" w:eastAsia="宋体" w:cs="宋体"/>
          <w:bCs/>
          <w:color w:val="auto"/>
          <w:szCs w:val="21"/>
          <w:highlight w:val="none"/>
        </w:rPr>
        <w:t>承担全部</w:t>
      </w:r>
      <w:r>
        <w:rPr>
          <w:rFonts w:hint="eastAsia" w:ascii="宋体" w:hAnsi="宋体" w:eastAsia="宋体" w:cs="宋体"/>
          <w:bCs/>
          <w:color w:val="auto"/>
          <w:szCs w:val="21"/>
          <w:highlight w:val="none"/>
          <w:lang w:val="en-US" w:eastAsia="zh-CN"/>
        </w:rPr>
        <w:t>经济</w:t>
      </w:r>
      <w:r>
        <w:rPr>
          <w:rFonts w:hint="eastAsia" w:ascii="宋体" w:hAnsi="宋体" w:eastAsia="宋体" w:cs="宋体"/>
          <w:bCs/>
          <w:color w:val="auto"/>
          <w:szCs w:val="21"/>
          <w:highlight w:val="none"/>
        </w:rPr>
        <w:t>责任。</w:t>
      </w:r>
    </w:p>
    <w:p w14:paraId="4161216B">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31" w:firstLineChars="196"/>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（六）因甲方过错或过失而导致的与派遣员工的用工纠纷，甲方依法或依照裁判决应承担责任或连带责任的，或依法或依照裁判决乙方必须以用人单位主体向派遣员工承担费用的，乙方承担后有权再向甲方追偿。</w:t>
      </w:r>
    </w:p>
    <w:p w14:paraId="776938DB">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33" w:firstLineChars="196"/>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第八条  双方约定的其它条款</w:t>
      </w:r>
    </w:p>
    <w:p w14:paraId="2637EA70">
      <w:pPr>
        <w:keepNext w:val="0"/>
        <w:keepLines w:val="0"/>
        <w:pageBreakBefore w:val="0"/>
        <w:widowControl/>
        <w:tabs>
          <w:tab w:val="left" w:pos="284"/>
          <w:tab w:val="left" w:pos="426"/>
        </w:tabs>
        <w:kinsoku/>
        <w:wordWrap/>
        <w:overflowPunct/>
        <w:topLinePunct w:val="0"/>
        <w:autoSpaceDE/>
        <w:autoSpaceDN/>
        <w:bidi w:val="0"/>
        <w:adjustRightInd/>
        <w:snapToGrid/>
        <w:spacing w:beforeAutospacing="0" w:after="0" w:afterAutospacing="0" w:line="440" w:lineRule="exact"/>
        <w:ind w:firstLine="431" w:firstLineChars="196"/>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甲方如要求使用不能在乙方办理社保的人员（包括但不限于退休返聘人员、实习人员、双重劳动关系人员等），</w:t>
      </w:r>
      <w:r>
        <w:rPr>
          <w:rFonts w:hint="eastAsia" w:ascii="宋体" w:hAnsi="宋体" w:eastAsia="宋体" w:cs="宋体"/>
          <w:bCs/>
          <w:color w:val="auto"/>
          <w:szCs w:val="21"/>
          <w:highlight w:val="none"/>
        </w:rPr>
        <w:t>乙方可为上述人员购买商业保险，甲方承担相关费用，并承担法律规定下的应由用人单位承担的相关法律责任和经济责任。</w:t>
      </w:r>
    </w:p>
    <w:p w14:paraId="06150858">
      <w:pPr>
        <w:keepNext w:val="0"/>
        <w:keepLines w:val="0"/>
        <w:pageBreakBefore w:val="0"/>
        <w:widowControl/>
        <w:tabs>
          <w:tab w:val="left" w:pos="284"/>
          <w:tab w:val="left" w:pos="426"/>
        </w:tabs>
        <w:kinsoku/>
        <w:wordWrap/>
        <w:overflowPunct/>
        <w:topLinePunct w:val="0"/>
        <w:autoSpaceDE/>
        <w:autoSpaceDN/>
        <w:bidi w:val="0"/>
        <w:adjustRightInd/>
        <w:snapToGrid/>
        <w:spacing w:beforeAutospacing="0" w:after="0" w:afterAutospacing="0" w:line="440" w:lineRule="exact"/>
        <w:ind w:firstLine="431" w:firstLineChars="196"/>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二</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员工</w:t>
      </w:r>
      <w:r>
        <w:rPr>
          <w:rFonts w:hint="eastAsia" w:ascii="宋体" w:hAnsi="宋体" w:eastAsia="宋体" w:cs="宋体"/>
          <w:bCs/>
          <w:color w:val="auto"/>
          <w:szCs w:val="21"/>
          <w:highlight w:val="none"/>
          <w:lang w:eastAsia="zh-CN"/>
        </w:rPr>
        <w:t>被乙方派遣至甲方之前，</w:t>
      </w:r>
      <w:r>
        <w:rPr>
          <w:rFonts w:hint="eastAsia" w:ascii="宋体" w:hAnsi="宋体" w:eastAsia="宋体" w:cs="宋体"/>
          <w:bCs/>
          <w:color w:val="auto"/>
          <w:szCs w:val="21"/>
          <w:highlight w:val="none"/>
          <w:lang w:val="en-US" w:eastAsia="zh-CN"/>
        </w:rPr>
        <w:t>若存在由</w:t>
      </w:r>
      <w:r>
        <w:rPr>
          <w:rFonts w:hint="eastAsia" w:ascii="宋体" w:hAnsi="宋体" w:eastAsia="宋体" w:cs="宋体"/>
          <w:bCs/>
          <w:color w:val="auto"/>
          <w:szCs w:val="21"/>
          <w:highlight w:val="none"/>
          <w:lang w:eastAsia="zh-CN"/>
        </w:rPr>
        <w:t>甲方自用或以其他用工方式在甲方</w:t>
      </w:r>
      <w:r>
        <w:rPr>
          <w:rFonts w:hint="eastAsia" w:ascii="宋体" w:hAnsi="宋体" w:eastAsia="宋体" w:cs="宋体"/>
          <w:bCs/>
          <w:color w:val="auto"/>
          <w:szCs w:val="21"/>
          <w:highlight w:val="none"/>
          <w:lang w:val="en-US" w:eastAsia="zh-CN"/>
        </w:rPr>
        <w:t>有</w:t>
      </w:r>
      <w:r>
        <w:rPr>
          <w:rFonts w:hint="eastAsia" w:ascii="宋体" w:hAnsi="宋体" w:eastAsia="宋体" w:cs="宋体"/>
          <w:bCs/>
          <w:color w:val="auto"/>
          <w:szCs w:val="21"/>
          <w:highlight w:val="none"/>
          <w:lang w:eastAsia="zh-CN"/>
        </w:rPr>
        <w:t>连续、累计工作</w:t>
      </w:r>
      <w:r>
        <w:rPr>
          <w:rFonts w:hint="eastAsia" w:ascii="宋体" w:hAnsi="宋体" w:eastAsia="宋体" w:cs="宋体"/>
          <w:bCs/>
          <w:color w:val="auto"/>
          <w:szCs w:val="21"/>
          <w:highlight w:val="none"/>
          <w:lang w:val="en-US" w:eastAsia="zh-CN"/>
        </w:rPr>
        <w:t>年限情形</w:t>
      </w:r>
      <w:r>
        <w:rPr>
          <w:rFonts w:hint="eastAsia" w:ascii="宋体" w:hAnsi="宋体" w:eastAsia="宋体" w:cs="宋体"/>
          <w:bCs/>
          <w:color w:val="auto"/>
          <w:szCs w:val="21"/>
          <w:highlight w:val="none"/>
          <w:lang w:eastAsia="zh-CN"/>
        </w:rPr>
        <w:t>的；</w:t>
      </w:r>
      <w:r>
        <w:rPr>
          <w:rFonts w:hint="eastAsia" w:ascii="宋体" w:hAnsi="宋体" w:eastAsia="宋体" w:cs="宋体"/>
          <w:bCs/>
          <w:color w:val="auto"/>
          <w:szCs w:val="21"/>
          <w:highlight w:val="none"/>
          <w:lang w:val="en-US" w:eastAsia="zh-CN"/>
        </w:rPr>
        <w:t>因甲方及其关联单位转型、重组、撤并、分离等原因由甲方承继用工责任或将员工用工主体转移至甲方的，须经甲方或甲方与其他用工形式合作的第三方清偿并终结</w:t>
      </w:r>
      <w:r>
        <w:rPr>
          <w:rFonts w:hint="eastAsia" w:ascii="宋体" w:hAnsi="宋体" w:eastAsia="宋体" w:cs="宋体"/>
          <w:bCs/>
          <w:color w:val="auto"/>
          <w:szCs w:val="21"/>
          <w:highlight w:val="none"/>
          <w:lang w:eastAsia="zh-CN"/>
        </w:rPr>
        <w:t>劳动关系</w:t>
      </w:r>
      <w:r>
        <w:rPr>
          <w:rFonts w:hint="eastAsia" w:ascii="宋体" w:hAnsi="宋体" w:eastAsia="宋体" w:cs="宋体"/>
          <w:bCs/>
          <w:color w:val="auto"/>
          <w:szCs w:val="21"/>
          <w:highlight w:val="none"/>
          <w:lang w:val="en-US" w:eastAsia="zh-CN"/>
        </w:rPr>
        <w:t>所有事项</w:t>
      </w:r>
      <w:r>
        <w:rPr>
          <w:rFonts w:hint="eastAsia" w:ascii="宋体" w:hAnsi="宋体" w:eastAsia="宋体" w:cs="宋体"/>
          <w:bCs/>
          <w:color w:val="auto"/>
          <w:szCs w:val="21"/>
          <w:highlight w:val="none"/>
          <w:lang w:eastAsia="zh-CN"/>
        </w:rPr>
        <w:t>后</w:t>
      </w:r>
      <w:r>
        <w:rPr>
          <w:rFonts w:hint="eastAsia" w:ascii="宋体" w:hAnsi="宋体" w:eastAsia="宋体" w:cs="宋体"/>
          <w:bCs/>
          <w:color w:val="auto"/>
          <w:szCs w:val="21"/>
          <w:highlight w:val="none"/>
          <w:lang w:val="en-US" w:eastAsia="zh-CN"/>
        </w:rPr>
        <w:t>再</w:t>
      </w:r>
      <w:r>
        <w:rPr>
          <w:rFonts w:hint="eastAsia" w:ascii="宋体" w:hAnsi="宋体" w:eastAsia="宋体" w:cs="宋体"/>
          <w:bCs/>
          <w:color w:val="auto"/>
          <w:szCs w:val="21"/>
          <w:highlight w:val="none"/>
          <w:lang w:eastAsia="zh-CN"/>
        </w:rPr>
        <w:t>与乙方建立新的劳动关系，</w:t>
      </w:r>
      <w:r>
        <w:rPr>
          <w:rFonts w:hint="eastAsia" w:ascii="宋体" w:hAnsi="宋体" w:eastAsia="宋体" w:cs="宋体"/>
          <w:bCs/>
          <w:color w:val="auto"/>
          <w:szCs w:val="21"/>
          <w:highlight w:val="none"/>
          <w:lang w:val="en-US" w:eastAsia="zh-CN"/>
        </w:rPr>
        <w:t>否则甲方应承担员工连续工龄合并计算之责任</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在乙方和员工劳动关系存续期间或</w:t>
      </w:r>
      <w:r>
        <w:rPr>
          <w:rFonts w:hint="eastAsia" w:ascii="宋体" w:hAnsi="宋体" w:eastAsia="宋体" w:cs="宋体"/>
          <w:bCs/>
          <w:color w:val="auto"/>
          <w:szCs w:val="21"/>
          <w:highlight w:val="none"/>
          <w:lang w:eastAsia="zh-CN"/>
        </w:rPr>
        <w:t>甲方将</w:t>
      </w:r>
      <w:r>
        <w:rPr>
          <w:rFonts w:hint="eastAsia" w:ascii="宋体" w:hAnsi="宋体" w:eastAsia="宋体" w:cs="宋体"/>
          <w:bCs/>
          <w:color w:val="auto"/>
          <w:szCs w:val="21"/>
          <w:highlight w:val="none"/>
          <w:lang w:val="en-US" w:eastAsia="zh-CN"/>
        </w:rPr>
        <w:t>员工</w:t>
      </w:r>
      <w:r>
        <w:rPr>
          <w:rFonts w:hint="eastAsia" w:ascii="宋体" w:hAnsi="宋体" w:eastAsia="宋体" w:cs="宋体"/>
          <w:bCs/>
          <w:color w:val="auto"/>
          <w:szCs w:val="21"/>
          <w:highlight w:val="none"/>
          <w:lang w:eastAsia="zh-CN"/>
        </w:rPr>
        <w:t>退回给乙方时，</w:t>
      </w:r>
      <w:r>
        <w:rPr>
          <w:rFonts w:hint="eastAsia" w:ascii="宋体" w:hAnsi="宋体" w:eastAsia="宋体" w:cs="宋体"/>
          <w:bCs/>
          <w:color w:val="auto"/>
          <w:szCs w:val="21"/>
          <w:highlight w:val="none"/>
          <w:lang w:val="en-US" w:eastAsia="zh-CN"/>
        </w:rPr>
        <w:t>若</w:t>
      </w:r>
      <w:r>
        <w:rPr>
          <w:rFonts w:hint="eastAsia" w:ascii="宋体" w:hAnsi="宋体" w:eastAsia="宋体" w:cs="宋体"/>
          <w:bCs/>
          <w:color w:val="auto"/>
          <w:szCs w:val="21"/>
          <w:highlight w:val="none"/>
          <w:lang w:eastAsia="zh-CN"/>
        </w:rPr>
        <w:t>涉及需要支付</w:t>
      </w:r>
      <w:r>
        <w:rPr>
          <w:rFonts w:hint="eastAsia" w:ascii="宋体" w:hAnsi="宋体" w:eastAsia="宋体" w:cs="宋体"/>
          <w:bCs/>
          <w:color w:val="auto"/>
          <w:szCs w:val="21"/>
          <w:highlight w:val="none"/>
          <w:lang w:val="en-US" w:eastAsia="zh-CN"/>
        </w:rPr>
        <w:t>员工</w:t>
      </w:r>
      <w:r>
        <w:rPr>
          <w:rFonts w:hint="eastAsia" w:ascii="宋体" w:hAnsi="宋体" w:eastAsia="宋体" w:cs="宋体"/>
          <w:bCs/>
          <w:color w:val="auto"/>
          <w:szCs w:val="21"/>
          <w:highlight w:val="none"/>
          <w:lang w:eastAsia="zh-CN"/>
        </w:rPr>
        <w:t>补偿金、赔偿金及其它待遇费用的，包括并不限于</w:t>
      </w:r>
      <w:r>
        <w:rPr>
          <w:rFonts w:hint="eastAsia" w:ascii="宋体" w:hAnsi="宋体" w:eastAsia="宋体" w:cs="宋体"/>
          <w:bCs/>
          <w:color w:val="auto"/>
          <w:szCs w:val="21"/>
          <w:highlight w:val="none"/>
          <w:lang w:val="en-US" w:eastAsia="zh-CN"/>
        </w:rPr>
        <w:t>员工</w:t>
      </w:r>
      <w:r>
        <w:rPr>
          <w:rFonts w:hint="eastAsia" w:ascii="宋体" w:hAnsi="宋体" w:eastAsia="宋体" w:cs="宋体"/>
          <w:bCs/>
          <w:color w:val="auto"/>
          <w:szCs w:val="21"/>
          <w:highlight w:val="none"/>
          <w:lang w:eastAsia="zh-CN"/>
        </w:rPr>
        <w:t>因工伤/非因工伤需用人单位承担责任的所有情形，应当合并计算</w:t>
      </w:r>
      <w:r>
        <w:rPr>
          <w:rFonts w:hint="eastAsia" w:ascii="宋体" w:hAnsi="宋体" w:eastAsia="宋体" w:cs="宋体"/>
          <w:bCs/>
          <w:color w:val="auto"/>
          <w:szCs w:val="21"/>
          <w:highlight w:val="none"/>
          <w:lang w:val="en-US" w:eastAsia="zh-CN"/>
        </w:rPr>
        <w:t>员工</w:t>
      </w:r>
      <w:r>
        <w:rPr>
          <w:rFonts w:hint="eastAsia" w:ascii="宋体" w:hAnsi="宋体" w:eastAsia="宋体" w:cs="宋体"/>
          <w:bCs/>
          <w:color w:val="auto"/>
          <w:szCs w:val="21"/>
          <w:highlight w:val="none"/>
          <w:lang w:eastAsia="zh-CN"/>
        </w:rPr>
        <w:t>在甲方的全部用工服务年限，</w:t>
      </w:r>
      <w:r>
        <w:rPr>
          <w:rFonts w:hint="eastAsia" w:ascii="宋体" w:hAnsi="宋体" w:eastAsia="宋体" w:cs="宋体"/>
          <w:bCs/>
          <w:color w:val="auto"/>
          <w:szCs w:val="21"/>
          <w:highlight w:val="none"/>
          <w:lang w:val="en-US" w:eastAsia="zh-CN"/>
        </w:rPr>
        <w:t>由甲方</w:t>
      </w:r>
      <w:r>
        <w:rPr>
          <w:rFonts w:hint="eastAsia" w:ascii="宋体" w:hAnsi="宋体" w:eastAsia="宋体" w:cs="宋体"/>
          <w:bCs/>
          <w:color w:val="auto"/>
          <w:szCs w:val="21"/>
          <w:highlight w:val="none"/>
          <w:lang w:eastAsia="zh-CN"/>
        </w:rPr>
        <w:t>按照相关法律规定的标准，向</w:t>
      </w:r>
      <w:r>
        <w:rPr>
          <w:rFonts w:hint="eastAsia" w:ascii="宋体" w:hAnsi="宋体" w:eastAsia="宋体" w:cs="宋体"/>
          <w:bCs/>
          <w:color w:val="auto"/>
          <w:szCs w:val="21"/>
          <w:highlight w:val="none"/>
          <w:lang w:val="en-US" w:eastAsia="zh-CN"/>
        </w:rPr>
        <w:t>员工</w:t>
      </w:r>
      <w:r>
        <w:rPr>
          <w:rFonts w:hint="eastAsia" w:ascii="宋体" w:hAnsi="宋体" w:eastAsia="宋体" w:cs="宋体"/>
          <w:bCs/>
          <w:color w:val="auto"/>
          <w:szCs w:val="21"/>
          <w:highlight w:val="none"/>
          <w:lang w:eastAsia="zh-CN"/>
        </w:rPr>
        <w:t>支付或通过乙方向</w:t>
      </w:r>
      <w:r>
        <w:rPr>
          <w:rFonts w:hint="eastAsia" w:ascii="宋体" w:hAnsi="宋体" w:eastAsia="宋体" w:cs="宋体"/>
          <w:bCs/>
          <w:color w:val="auto"/>
          <w:szCs w:val="21"/>
          <w:highlight w:val="none"/>
          <w:lang w:val="en-US" w:eastAsia="zh-CN"/>
        </w:rPr>
        <w:t>员工</w:t>
      </w:r>
      <w:r>
        <w:rPr>
          <w:rFonts w:hint="eastAsia" w:ascii="宋体" w:hAnsi="宋体" w:eastAsia="宋体" w:cs="宋体"/>
          <w:bCs/>
          <w:color w:val="auto"/>
          <w:szCs w:val="21"/>
          <w:highlight w:val="none"/>
          <w:lang w:eastAsia="zh-CN"/>
        </w:rPr>
        <w:t>支付。</w:t>
      </w:r>
    </w:p>
    <w:p w14:paraId="7E07BCAA">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40" w:firstLineChars="199"/>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第九条  协议期限</w:t>
      </w:r>
    </w:p>
    <w:p w14:paraId="522A2DD1">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（一）本协议有效期限从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日起至下列第（   ）种：</w:t>
      </w:r>
    </w:p>
    <w:p w14:paraId="18B7EBF9">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1、最后一名派遣员工与乙方所签劳动合同期满为止；</w:t>
      </w:r>
    </w:p>
    <w:p w14:paraId="03412437">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年     月     日止</w:t>
      </w:r>
      <w:r>
        <w:rPr>
          <w:rFonts w:hint="eastAsia" w:ascii="宋体" w:hAnsi="宋体" w:eastAsia="宋体" w:cs="宋体"/>
          <w:color w:val="auto"/>
          <w:szCs w:val="21"/>
          <w:highlight w:val="none"/>
          <w:u w:val="single"/>
          <w:lang w:eastAsia="zh-CN"/>
        </w:rPr>
        <w:t>；</w:t>
      </w:r>
    </w:p>
    <w:p w14:paraId="00C1D174">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按照以上第2种方式本协议有效期满但还有派遣员工派遣期限未满的，双方应另行补签本协议期限延长的协议。如双方未补签期限延长协议的，则乙方应解除与派遣期限未满员工的劳动合同，由甲方继续承接与该员工的劳动关系或者负责对该员工进行妥善安置。</w:t>
      </w:r>
    </w:p>
    <w:p w14:paraId="187119A5">
      <w:pPr>
        <w:keepNext w:val="0"/>
        <w:keepLines w:val="0"/>
        <w:pageBreakBefore w:val="0"/>
        <w:widowControl/>
        <w:tabs>
          <w:tab w:val="left" w:pos="426"/>
        </w:tabs>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②若因双方任一</w:t>
      </w:r>
      <w:r>
        <w:rPr>
          <w:rFonts w:hint="eastAsia" w:ascii="宋体" w:hAnsi="宋体" w:eastAsia="宋体" w:cs="宋体"/>
          <w:color w:val="auto"/>
          <w:szCs w:val="21"/>
          <w:highlight w:val="none"/>
        </w:rPr>
        <w:t>方</w:t>
      </w:r>
      <w:r>
        <w:rPr>
          <w:rFonts w:hint="eastAsia" w:ascii="宋体" w:hAnsi="宋体" w:eastAsia="宋体" w:cs="宋体"/>
          <w:color w:val="auto"/>
          <w:szCs w:val="21"/>
          <w:highlight w:val="none"/>
          <w:lang w:val="en-US" w:eastAsia="zh-CN"/>
        </w:rPr>
        <w:t>客观</w:t>
      </w:r>
      <w:r>
        <w:rPr>
          <w:rFonts w:hint="eastAsia" w:ascii="宋体" w:hAnsi="宋体" w:eastAsia="宋体" w:cs="宋体"/>
          <w:color w:val="auto"/>
          <w:szCs w:val="21"/>
          <w:highlight w:val="none"/>
        </w:rPr>
        <w:t>原因，本</w:t>
      </w:r>
      <w:r>
        <w:rPr>
          <w:rFonts w:hint="eastAsia" w:ascii="宋体" w:hAnsi="宋体" w:eastAsia="宋体" w:cs="宋体"/>
          <w:color w:val="auto"/>
          <w:szCs w:val="21"/>
          <w:highlight w:val="none"/>
          <w:lang w:val="en-US" w:eastAsia="zh-CN"/>
        </w:rPr>
        <w:t>协议</w:t>
      </w:r>
      <w:r>
        <w:rPr>
          <w:rFonts w:hint="eastAsia" w:ascii="宋体" w:hAnsi="宋体" w:eastAsia="宋体" w:cs="宋体"/>
          <w:color w:val="auto"/>
          <w:szCs w:val="21"/>
          <w:highlight w:val="none"/>
        </w:rPr>
        <w:t>未能及时</w:t>
      </w:r>
      <w:r>
        <w:rPr>
          <w:rFonts w:hint="eastAsia" w:ascii="宋体" w:hAnsi="宋体" w:eastAsia="宋体" w:cs="宋体"/>
          <w:color w:val="auto"/>
          <w:szCs w:val="21"/>
          <w:highlight w:val="none"/>
          <w:lang w:val="en-US" w:eastAsia="zh-CN"/>
        </w:rPr>
        <w:t>续</w:t>
      </w:r>
      <w:r>
        <w:rPr>
          <w:rFonts w:hint="eastAsia" w:ascii="宋体" w:hAnsi="宋体" w:eastAsia="宋体" w:cs="宋体"/>
          <w:color w:val="auto"/>
          <w:szCs w:val="21"/>
          <w:highlight w:val="none"/>
        </w:rPr>
        <w:t>签，但</w:t>
      </w:r>
      <w:r>
        <w:rPr>
          <w:rFonts w:hint="eastAsia" w:ascii="宋体" w:hAnsi="宋体" w:eastAsia="宋体" w:cs="宋体"/>
          <w:color w:val="auto"/>
          <w:szCs w:val="21"/>
          <w:highlight w:val="none"/>
          <w:lang w:val="en-US" w:eastAsia="zh-CN"/>
        </w:rPr>
        <w:t>双</w:t>
      </w:r>
      <w:r>
        <w:rPr>
          <w:rFonts w:hint="eastAsia" w:ascii="宋体" w:hAnsi="宋体" w:eastAsia="宋体" w:cs="宋体"/>
          <w:color w:val="auto"/>
          <w:szCs w:val="21"/>
          <w:highlight w:val="none"/>
        </w:rPr>
        <w:t>方</w:t>
      </w:r>
      <w:r>
        <w:rPr>
          <w:rFonts w:hint="eastAsia" w:ascii="宋体" w:hAnsi="宋体" w:eastAsia="宋体" w:cs="宋体"/>
          <w:color w:val="auto"/>
          <w:szCs w:val="21"/>
          <w:highlight w:val="none"/>
          <w:lang w:val="en-US" w:eastAsia="zh-CN"/>
        </w:rPr>
        <w:t>合作仍</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val="en-US" w:eastAsia="zh-CN"/>
        </w:rPr>
        <w:t>实际</w:t>
      </w:r>
      <w:r>
        <w:rPr>
          <w:rFonts w:hint="eastAsia" w:ascii="宋体" w:hAnsi="宋体" w:eastAsia="宋体" w:cs="宋体"/>
          <w:color w:val="auto"/>
          <w:szCs w:val="21"/>
          <w:highlight w:val="none"/>
        </w:rPr>
        <w:t>履行，尚未发生争议，即使将来出现相关争议，本</w:t>
      </w:r>
      <w:r>
        <w:rPr>
          <w:rFonts w:hint="eastAsia" w:ascii="宋体" w:hAnsi="宋体" w:eastAsia="宋体" w:cs="宋体"/>
          <w:color w:val="auto"/>
          <w:szCs w:val="21"/>
          <w:highlight w:val="none"/>
          <w:lang w:val="en-US" w:eastAsia="zh-CN"/>
        </w:rPr>
        <w:t>协议仍然有效且</w:t>
      </w:r>
      <w:r>
        <w:rPr>
          <w:rFonts w:hint="eastAsia" w:ascii="宋体" w:hAnsi="宋体" w:eastAsia="宋体" w:cs="宋体"/>
          <w:color w:val="auto"/>
          <w:szCs w:val="21"/>
          <w:highlight w:val="none"/>
        </w:rPr>
        <w:t>效力回溯</w:t>
      </w:r>
      <w:r>
        <w:rPr>
          <w:rFonts w:hint="eastAsia" w:ascii="宋体" w:hAnsi="宋体" w:eastAsia="宋体" w:cs="宋体"/>
          <w:color w:val="auto"/>
          <w:szCs w:val="21"/>
          <w:highlight w:val="none"/>
          <w:lang w:val="en-US" w:eastAsia="zh-CN"/>
        </w:rPr>
        <w:t>自</w:t>
      </w:r>
      <w:r>
        <w:rPr>
          <w:rFonts w:hint="eastAsia" w:ascii="宋体" w:hAnsi="宋体" w:eastAsia="宋体" w:cs="宋体"/>
          <w:color w:val="auto"/>
          <w:szCs w:val="21"/>
          <w:highlight w:val="none"/>
          <w:u w:val="single"/>
          <w:lang w:val="en-US" w:eastAsia="zh-CN"/>
        </w:rPr>
        <w:t xml:space="preserve">本协议期满后的次日。      </w:t>
      </w:r>
    </w:p>
    <w:p w14:paraId="09CF186C">
      <w:pPr>
        <w:keepNext w:val="0"/>
        <w:keepLines w:val="0"/>
        <w:pageBreakBefore w:val="0"/>
        <w:widowControl/>
        <w:tabs>
          <w:tab w:val="left" w:pos="426"/>
        </w:tabs>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（二）本协议到期前一个月，双方应书面予以确认是否续签。</w:t>
      </w:r>
    </w:p>
    <w:p w14:paraId="141F9F22">
      <w:pPr>
        <w:keepNext w:val="0"/>
        <w:keepLines w:val="0"/>
        <w:pageBreakBefore w:val="0"/>
        <w:widowControl/>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（三）本协议期满，双方如不再续约，则本协议终止。</w:t>
      </w:r>
    </w:p>
    <w:p w14:paraId="17182507">
      <w:pPr>
        <w:keepNext w:val="0"/>
        <w:keepLines w:val="0"/>
        <w:pageBreakBefore w:val="0"/>
        <w:widowControl/>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 xml:space="preserve">   （四）本协议终止后，乙方派遣员工应自协议终止之日起的10日内及时交还甲方的工作物品等，清理乙方物品，搬离甲方场所。</w:t>
      </w:r>
    </w:p>
    <w:p w14:paraId="78515C57">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4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rPr>
        <w:t>第十条</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lang w:val="en-US"/>
        </w:rPr>
        <w:t xml:space="preserve"> </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附则</w:t>
      </w:r>
    </w:p>
    <w:p w14:paraId="2639AF3E">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（一）甲乙双方对本协议内容及相关信息负有保密的义务。未经对方同意，任何一方不得将本协议部分或全部权利和义务泄露和转让给第三方。</w:t>
      </w:r>
    </w:p>
    <w:p w14:paraId="13A22C5D">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（二）本协议书未尽事宜由甲乙方双方协商一致后书面约定。本协议履行过程中，协议有关内容如与国家新颁布的法律、法规和劳动保障政策不一致的，按新的法律法规政策执行。</w:t>
      </w:r>
    </w:p>
    <w:p w14:paraId="33337C4C">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甲乙双方在本协议履行过程中相互发出或者提供的所有通知、文件、文书、资料等，均可以当面交付或以书面形式按本协议所列明的通讯地址履行送达义务。任何一方主体资格发生变化（包括变更、分立、注销等）和搬迁办公地址或变更联系方式，均应在七日内提前以书面形式通知对方。因未及时通知而造成损失的，由负有通知义务的一方承担。</w:t>
      </w:r>
    </w:p>
    <w:p w14:paraId="500A9965">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（四）甲方与乙方因履行本协议发生争议，应协商解决，协商不一致的可申请调解、仲裁或</w:t>
      </w:r>
      <w:r>
        <w:rPr>
          <w:rFonts w:hint="eastAsia" w:ascii="宋体" w:hAnsi="宋体" w:eastAsia="宋体" w:cs="宋体"/>
          <w:bCs/>
          <w:color w:val="auto"/>
          <w:szCs w:val="21"/>
          <w:highlight w:val="none"/>
        </w:rPr>
        <w:t>向</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所在地的法院</w:t>
      </w:r>
      <w:r>
        <w:rPr>
          <w:rFonts w:hint="eastAsia" w:ascii="宋体" w:hAnsi="宋体" w:eastAsia="宋体" w:cs="宋体"/>
          <w:color w:val="auto"/>
          <w:szCs w:val="21"/>
          <w:highlight w:val="none"/>
        </w:rPr>
        <w:t>提起诉讼。</w:t>
      </w:r>
    </w:p>
    <w:p w14:paraId="308E48B3">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（五）本协议一式</w:t>
      </w:r>
      <w:r>
        <w:rPr>
          <w:rFonts w:hint="eastAsia" w:ascii="宋体" w:hAnsi="宋体" w:eastAsia="宋体" w:cs="宋体"/>
          <w:color w:val="auto"/>
          <w:szCs w:val="21"/>
          <w:highlight w:val="none"/>
          <w:lang w:val="en-US" w:eastAsia="zh-CN"/>
        </w:rPr>
        <w:t>贰</w:t>
      </w:r>
      <w:r>
        <w:rPr>
          <w:rFonts w:hint="eastAsia" w:ascii="宋体" w:hAnsi="宋体" w:eastAsia="宋体" w:cs="宋体"/>
          <w:color w:val="auto"/>
          <w:szCs w:val="21"/>
          <w:highlight w:val="none"/>
        </w:rPr>
        <w:t>份，甲乙双方各执</w:t>
      </w:r>
      <w:r>
        <w:rPr>
          <w:rFonts w:hint="eastAsia" w:ascii="宋体" w:hAnsi="宋体" w:eastAsia="宋体" w:cs="宋体"/>
          <w:color w:val="auto"/>
          <w:szCs w:val="21"/>
          <w:highlight w:val="none"/>
          <w:lang w:val="en-US" w:eastAsia="zh-CN"/>
        </w:rPr>
        <w:t>壹</w:t>
      </w:r>
      <w:r>
        <w:rPr>
          <w:rFonts w:hint="eastAsia" w:ascii="宋体" w:hAnsi="宋体" w:eastAsia="宋体" w:cs="宋体"/>
          <w:color w:val="auto"/>
          <w:szCs w:val="21"/>
          <w:highlight w:val="none"/>
        </w:rPr>
        <w:t>份。经双方有权签字人签字并加盖单位公章之日起成立。</w:t>
      </w:r>
    </w:p>
    <w:p w14:paraId="7F7571B3">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440" w:firstLineChars="200"/>
        <w:textAlignment w:val="auto"/>
        <w:rPr>
          <w:rFonts w:hint="eastAsia" w:ascii="宋体" w:hAnsi="宋体" w:eastAsia="宋体" w:cs="宋体"/>
          <w:color w:val="auto"/>
          <w:szCs w:val="21"/>
          <w:highlight w:val="none"/>
        </w:rPr>
      </w:pPr>
    </w:p>
    <w:p w14:paraId="103F3994">
      <w:pPr>
        <w:keepNext w:val="0"/>
        <w:keepLines w:val="0"/>
        <w:pageBreakBefore w:val="0"/>
        <w:widowControl/>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以下无正文</w:t>
      </w:r>
      <w:r>
        <w:rPr>
          <w:rFonts w:hint="eastAsia" w:ascii="宋体" w:hAnsi="宋体" w:eastAsia="宋体" w:cs="宋体"/>
          <w:color w:val="auto"/>
          <w:szCs w:val="21"/>
          <w:highlight w:val="none"/>
          <w:lang w:eastAsia="zh-CN"/>
        </w:rPr>
        <w:t>）</w:t>
      </w:r>
    </w:p>
    <w:p w14:paraId="3E612AE4">
      <w:pPr>
        <w:keepNext w:val="0"/>
        <w:keepLines w:val="0"/>
        <w:pageBreakBefore w:val="0"/>
        <w:widowControl/>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 方：                                         乙 方： </w:t>
      </w:r>
    </w:p>
    <w:p w14:paraId="4E6FF65C">
      <w:pPr>
        <w:keepNext w:val="0"/>
        <w:keepLines w:val="0"/>
        <w:pageBreakBefore w:val="0"/>
        <w:widowControl/>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（盖章）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（盖章）</w:t>
      </w:r>
    </w:p>
    <w:p w14:paraId="334BFBC9">
      <w:pPr>
        <w:keepNext w:val="0"/>
        <w:keepLines w:val="0"/>
        <w:pageBreakBefore w:val="0"/>
        <w:widowControl/>
        <w:tabs>
          <w:tab w:val="left" w:pos="5387"/>
        </w:tabs>
        <w:kinsoku/>
        <w:wordWrap/>
        <w:overflowPunct/>
        <w:topLinePunct w:val="0"/>
        <w:autoSpaceDE/>
        <w:autoSpaceDN/>
        <w:bidi w:val="0"/>
        <w:adjustRightInd/>
        <w:snapToGrid/>
        <w:spacing w:beforeAutospacing="0" w:after="0" w:afterAutospacing="0"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代表签字：                                  代表签字：</w:t>
      </w:r>
    </w:p>
    <w:p w14:paraId="483A8415">
      <w:pPr>
        <w:keepNext w:val="0"/>
        <w:keepLines w:val="0"/>
        <w:pageBreakBefore w:val="0"/>
        <w:widowControl/>
        <w:kinsoku/>
        <w:wordWrap/>
        <w:overflowPunct/>
        <w:topLinePunct w:val="0"/>
        <w:autoSpaceDE/>
        <w:autoSpaceDN/>
        <w:bidi w:val="0"/>
        <w:adjustRightInd/>
        <w:snapToGrid/>
        <w:spacing w:beforeAutospacing="0" w:after="0" w:afterAutospacing="0"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   年    月   日                   日 期：  年    月    日</w:t>
      </w:r>
    </w:p>
    <w:p w14:paraId="47668C24">
      <w:pPr>
        <w:keepNext w:val="0"/>
        <w:keepLines w:val="0"/>
        <w:pageBreakBefore w:val="0"/>
        <w:widowControl/>
        <w:kinsoku/>
        <w:wordWrap/>
        <w:overflowPunct/>
        <w:topLinePunct w:val="0"/>
        <w:autoSpaceDE/>
        <w:autoSpaceDN/>
        <w:bidi w:val="0"/>
        <w:adjustRightInd/>
        <w:snapToGrid/>
        <w:spacing w:beforeAutospacing="0" w:after="0" w:afterAutospacing="0" w:line="440" w:lineRule="exact"/>
        <w:jc w:val="left"/>
        <w:textAlignment w:val="auto"/>
        <w:rPr>
          <w:rFonts w:hint="eastAsia" w:ascii="宋体" w:hAnsi="宋体" w:eastAsia="宋体" w:cs="宋体"/>
          <w:color w:val="auto"/>
          <w:szCs w:val="21"/>
          <w:highlight w:val="none"/>
        </w:rPr>
      </w:pPr>
    </w:p>
    <w:p w14:paraId="6E47A1FB">
      <w:pPr>
        <w:keepNext w:val="0"/>
        <w:keepLines w:val="0"/>
        <w:pageBreakBefore w:val="0"/>
        <w:widowControl/>
        <w:kinsoku/>
        <w:wordWrap/>
        <w:overflowPunct/>
        <w:topLinePunct w:val="0"/>
        <w:autoSpaceDE/>
        <w:autoSpaceDN/>
        <w:bidi w:val="0"/>
        <w:adjustRightInd/>
        <w:snapToGrid/>
        <w:spacing w:beforeAutospacing="0" w:after="0" w:afterAutospacing="0" w:line="440" w:lineRule="exact"/>
        <w:jc w:val="left"/>
        <w:textAlignment w:val="auto"/>
        <w:rPr>
          <w:rFonts w:hint="eastAsia" w:ascii="宋体" w:hAnsi="宋体" w:eastAsia="宋体" w:cs="宋体"/>
          <w:color w:val="auto"/>
          <w:szCs w:val="21"/>
          <w:highlight w:val="none"/>
        </w:rPr>
      </w:pPr>
    </w:p>
    <w:p w14:paraId="218724F5">
      <w:pPr>
        <w:keepNext w:val="0"/>
        <w:keepLines w:val="0"/>
        <w:pageBreakBefore w:val="0"/>
        <w:widowControl/>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附件一：服务项目</w:t>
      </w:r>
    </w:p>
    <w:tbl>
      <w:tblPr>
        <w:tblStyle w:val="37"/>
        <w:tblpPr w:leftFromText="180" w:rightFromText="180" w:vertAnchor="text" w:horzAnchor="page" w:tblpX="1567" w:tblpY="501"/>
        <w:tblOverlap w:val="never"/>
        <w:tblW w:w="8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6440"/>
      </w:tblGrid>
      <w:tr w14:paraId="4FF2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232" w:type="dxa"/>
            <w:vAlign w:val="center"/>
          </w:tcPr>
          <w:p w14:paraId="181DBE62">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b/>
                <w:color w:val="auto"/>
                <w:sz w:val="22"/>
                <w:szCs w:val="22"/>
                <w:highlight w:val="none"/>
              </w:rPr>
              <w:t>服务项目</w:t>
            </w:r>
          </w:p>
        </w:tc>
        <w:tc>
          <w:tcPr>
            <w:tcW w:w="6440" w:type="dxa"/>
            <w:vAlign w:val="center"/>
          </w:tcPr>
          <w:p w14:paraId="31BBC52B">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color w:val="auto"/>
                <w:sz w:val="22"/>
                <w:szCs w:val="22"/>
                <w:highlight w:val="none"/>
                <w:vertAlign w:val="baseline"/>
              </w:rPr>
            </w:pPr>
            <w:r>
              <w:rPr>
                <w:rFonts w:hint="eastAsia" w:ascii="宋体" w:hAnsi="宋体" w:eastAsia="宋体" w:cs="宋体"/>
                <w:b/>
                <w:color w:val="auto"/>
                <w:sz w:val="22"/>
                <w:szCs w:val="22"/>
                <w:highlight w:val="none"/>
              </w:rPr>
              <w:t>具体内容</w:t>
            </w:r>
          </w:p>
        </w:tc>
      </w:tr>
      <w:tr w14:paraId="63B0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2232" w:type="dxa"/>
            <w:vAlign w:val="center"/>
          </w:tcPr>
          <w:p w14:paraId="34E2BE45">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color w:val="auto"/>
                <w:sz w:val="22"/>
                <w:szCs w:val="22"/>
                <w:highlight w:val="none"/>
                <w:vertAlign w:val="baseline"/>
              </w:rPr>
            </w:pPr>
            <w:r>
              <w:rPr>
                <w:rFonts w:hint="eastAsia" w:ascii="宋体" w:hAnsi="宋体" w:eastAsia="宋体" w:cs="宋体"/>
                <w:color w:val="auto"/>
                <w:sz w:val="22"/>
                <w:szCs w:val="22"/>
                <w:highlight w:val="none"/>
              </w:rPr>
              <w:t>劳动关系管理</w:t>
            </w:r>
          </w:p>
        </w:tc>
        <w:tc>
          <w:tcPr>
            <w:tcW w:w="6440" w:type="dxa"/>
            <w:vAlign w:val="top"/>
          </w:tcPr>
          <w:p w14:paraId="23365E89">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sz w:val="22"/>
                <w:szCs w:val="22"/>
                <w:highlight w:val="none"/>
                <w:vertAlign w:val="baseline"/>
              </w:rPr>
            </w:pPr>
            <w:r>
              <w:rPr>
                <w:rFonts w:hint="eastAsia" w:ascii="宋体" w:hAnsi="宋体" w:eastAsia="宋体" w:cs="宋体"/>
                <w:color w:val="auto"/>
                <w:sz w:val="22"/>
                <w:szCs w:val="22"/>
                <w:highlight w:val="none"/>
              </w:rPr>
              <w:t>与员工签订劳动合同（建立派遣劳动关系或员工关系/劳务协议），派遣员工入职/在职/离职管理</w:t>
            </w:r>
          </w:p>
        </w:tc>
      </w:tr>
      <w:tr w14:paraId="07E6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232" w:type="dxa"/>
            <w:vAlign w:val="center"/>
          </w:tcPr>
          <w:p w14:paraId="4B818DE1">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缴纳五险一金</w:t>
            </w:r>
          </w:p>
        </w:tc>
        <w:tc>
          <w:tcPr>
            <w:tcW w:w="6440" w:type="dxa"/>
            <w:vAlign w:val="center"/>
          </w:tcPr>
          <w:p w14:paraId="1488C1F0">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办理员工社保五险一金的新增、减少、转移、异动及相关待遇享受手续，医保卡办理和发放。</w:t>
            </w:r>
          </w:p>
        </w:tc>
      </w:tr>
      <w:tr w14:paraId="5B15D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232" w:type="dxa"/>
            <w:vAlign w:val="center"/>
          </w:tcPr>
          <w:p w14:paraId="2EE55EEA">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员工工资及个税</w:t>
            </w:r>
          </w:p>
        </w:tc>
        <w:tc>
          <w:tcPr>
            <w:tcW w:w="6440" w:type="dxa"/>
            <w:vAlign w:val="center"/>
          </w:tcPr>
          <w:p w14:paraId="7724BCB2">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计算、发放员工工资并代扣代缴个税。</w:t>
            </w:r>
          </w:p>
        </w:tc>
      </w:tr>
      <w:tr w14:paraId="217E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232" w:type="dxa"/>
            <w:vAlign w:val="center"/>
          </w:tcPr>
          <w:p w14:paraId="54D1F83C">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员工见面会</w:t>
            </w:r>
          </w:p>
        </w:tc>
        <w:tc>
          <w:tcPr>
            <w:tcW w:w="6440" w:type="dxa"/>
            <w:vAlign w:val="top"/>
          </w:tcPr>
          <w:p w14:paraId="01E445A6">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五险一金政策解析、培训和指导，解决员工五险一金的顺利转移。员工社保的历史遗留疑难咨询服务。</w:t>
            </w:r>
          </w:p>
        </w:tc>
      </w:tr>
      <w:tr w14:paraId="7C23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232" w:type="dxa"/>
            <w:vAlign w:val="center"/>
          </w:tcPr>
          <w:p w14:paraId="6A6FD4FA">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政策咨询</w:t>
            </w:r>
          </w:p>
        </w:tc>
        <w:tc>
          <w:tcPr>
            <w:tcW w:w="6440" w:type="dxa"/>
            <w:vAlign w:val="center"/>
          </w:tcPr>
          <w:p w14:paraId="6893E926">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提供实时社保/公积金政策咨询服务</w:t>
            </w:r>
          </w:p>
        </w:tc>
      </w:tr>
      <w:tr w14:paraId="4A30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232" w:type="dxa"/>
            <w:vAlign w:val="center"/>
          </w:tcPr>
          <w:p w14:paraId="57590ACA">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仲裁事务</w:t>
            </w:r>
          </w:p>
        </w:tc>
        <w:tc>
          <w:tcPr>
            <w:tcW w:w="6440" w:type="dxa"/>
            <w:vAlign w:val="center"/>
          </w:tcPr>
          <w:p w14:paraId="49B9AE95">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提供日常劳动关系管理法律咨询服务，仲裁处理</w:t>
            </w:r>
          </w:p>
        </w:tc>
      </w:tr>
    </w:tbl>
    <w:p w14:paraId="1181CDB5">
      <w:pPr>
        <w:widowControl w:val="0"/>
        <w:spacing w:after="0" w:line="240" w:lineRule="auto"/>
        <w:ind w:firstLine="420"/>
        <w:jc w:val="both"/>
        <w:rPr>
          <w:rFonts w:hint="eastAsia" w:ascii="宋体" w:hAnsi="宋体" w:eastAsia="宋体" w:cs="宋体"/>
          <w:color w:val="auto"/>
          <w:kern w:val="2"/>
          <w:sz w:val="21"/>
          <w:highlight w:val="none"/>
        </w:rPr>
      </w:pPr>
    </w:p>
    <w:p w14:paraId="00623276">
      <w:pPr>
        <w:widowControl w:val="0"/>
        <w:spacing w:after="0" w:line="240" w:lineRule="auto"/>
        <w:ind w:firstLine="420"/>
        <w:jc w:val="both"/>
        <w:rPr>
          <w:rFonts w:hint="eastAsia" w:ascii="宋体" w:hAnsi="宋体" w:eastAsia="宋体" w:cs="宋体"/>
          <w:color w:val="auto"/>
          <w:kern w:val="2"/>
          <w:sz w:val="21"/>
          <w:highlight w:val="none"/>
        </w:rPr>
      </w:pPr>
    </w:p>
    <w:p w14:paraId="5FA4DCCC">
      <w:pPr>
        <w:spacing w:after="0"/>
        <w:rPr>
          <w:rFonts w:hint="eastAsia" w:ascii="宋体" w:hAnsi="宋体" w:eastAsia="宋体" w:cs="宋体"/>
          <w:color w:val="auto"/>
          <w:sz w:val="21"/>
          <w:szCs w:val="21"/>
          <w:highlight w:val="none"/>
        </w:rPr>
        <w:sectPr>
          <w:pgSz w:w="11906" w:h="16838"/>
          <w:pgMar w:top="1440" w:right="1800" w:bottom="1440" w:left="1800" w:header="851" w:footer="992" w:gutter="0"/>
          <w:cols w:space="720" w:num="1"/>
          <w:docGrid w:type="lines" w:linePitch="312" w:charSpace="0"/>
        </w:sectPr>
      </w:pPr>
    </w:p>
    <w:bookmarkEnd w:id="136"/>
    <w:p w14:paraId="52B7686F">
      <w:pPr>
        <w:keepNext/>
        <w:keepLines/>
        <w:adjustRightInd w:val="0"/>
        <w:snapToGrid w:val="0"/>
        <w:spacing w:after="0"/>
        <w:jc w:val="center"/>
        <w:textAlignment w:val="baseline"/>
        <w:outlineLvl w:val="0"/>
        <w:rPr>
          <w:rFonts w:ascii="Cambria" w:hAnsi="Cambria"/>
          <w:b/>
          <w:bCs/>
          <w:color w:val="auto"/>
          <w:sz w:val="30"/>
          <w:szCs w:val="28"/>
          <w:highlight w:val="none"/>
        </w:rPr>
      </w:pPr>
      <w:bookmarkStart w:id="138" w:name="_Toc141260233"/>
      <w:r>
        <w:rPr>
          <w:rFonts w:hint="eastAsia" w:ascii="Cambria" w:hAnsi="Cambria"/>
          <w:b/>
          <w:bCs/>
          <w:color w:val="auto"/>
          <w:sz w:val="30"/>
          <w:szCs w:val="28"/>
          <w:highlight w:val="none"/>
        </w:rPr>
        <w:t>第六章</w:t>
      </w:r>
      <w:r>
        <w:rPr>
          <w:rFonts w:ascii="Cambria" w:hAnsi="Cambria"/>
          <w:b/>
          <w:bCs/>
          <w:color w:val="auto"/>
          <w:sz w:val="30"/>
          <w:szCs w:val="28"/>
          <w:highlight w:val="none"/>
        </w:rPr>
        <w:t xml:space="preserve"> </w:t>
      </w:r>
      <w:r>
        <w:rPr>
          <w:rFonts w:hint="eastAsia" w:ascii="Cambria" w:hAnsi="Cambria"/>
          <w:b/>
          <w:bCs/>
          <w:color w:val="auto"/>
          <w:sz w:val="30"/>
          <w:szCs w:val="28"/>
          <w:highlight w:val="none"/>
        </w:rPr>
        <w:t>响应文件格式</w:t>
      </w:r>
      <w:bookmarkEnd w:id="4"/>
      <w:bookmarkEnd w:id="5"/>
      <w:bookmarkEnd w:id="138"/>
    </w:p>
    <w:p w14:paraId="612E3A7F">
      <w:pPr>
        <w:spacing w:after="0"/>
        <w:jc w:val="center"/>
        <w:rPr>
          <w:rFonts w:ascii="Times New Roman" w:hAnsi="Times New Roman"/>
          <w:b/>
          <w:color w:val="auto"/>
          <w:sz w:val="38"/>
          <w:szCs w:val="36"/>
          <w:highlight w:val="none"/>
        </w:rPr>
      </w:pPr>
    </w:p>
    <w:p w14:paraId="4587019D">
      <w:pPr>
        <w:spacing w:after="0"/>
        <w:jc w:val="both"/>
        <w:rPr>
          <w:rFonts w:ascii="Times New Roman" w:hAnsi="Times New Roman"/>
          <w:color w:val="auto"/>
          <w:sz w:val="46"/>
          <w:szCs w:val="21"/>
          <w:highlight w:val="none"/>
        </w:rPr>
      </w:pPr>
      <w:r>
        <w:rPr>
          <w:rFonts w:hint="eastAsia" w:ascii="Times New Roman" w:hAnsi="Times New Roman"/>
          <w:color w:val="auto"/>
          <w:sz w:val="46"/>
          <w:szCs w:val="21"/>
          <w:highlight w:val="none"/>
        </w:rPr>
        <w:t>封面</w:t>
      </w:r>
    </w:p>
    <w:p w14:paraId="6755B7F4">
      <w:pPr>
        <w:tabs>
          <w:tab w:val="left" w:pos="1260"/>
        </w:tabs>
        <w:spacing w:after="0"/>
        <w:jc w:val="center"/>
        <w:rPr>
          <w:rFonts w:ascii="Times New Roman" w:hAnsi="Times New Roman"/>
          <w:bCs/>
          <w:color w:val="auto"/>
          <w:spacing w:val="100"/>
          <w:w w:val="110"/>
          <w:sz w:val="38"/>
          <w:szCs w:val="36"/>
          <w:highlight w:val="none"/>
        </w:rPr>
      </w:pPr>
    </w:p>
    <w:p w14:paraId="5E7EF643">
      <w:pPr>
        <w:tabs>
          <w:tab w:val="left" w:pos="1260"/>
        </w:tabs>
        <w:spacing w:after="0"/>
        <w:jc w:val="center"/>
        <w:rPr>
          <w:rFonts w:ascii="Times New Roman" w:hAnsi="Times New Roman"/>
          <w:bCs/>
          <w:color w:val="auto"/>
          <w:spacing w:val="100"/>
          <w:w w:val="110"/>
          <w:sz w:val="38"/>
          <w:szCs w:val="36"/>
          <w:highlight w:val="none"/>
        </w:rPr>
      </w:pPr>
    </w:p>
    <w:p w14:paraId="47BA5463">
      <w:pPr>
        <w:tabs>
          <w:tab w:val="left" w:pos="1260"/>
        </w:tabs>
        <w:spacing w:after="0"/>
        <w:jc w:val="center"/>
        <w:rPr>
          <w:rFonts w:ascii="Times New Roman" w:hAnsi="Times New Roman"/>
          <w:bCs/>
          <w:color w:val="auto"/>
          <w:spacing w:val="100"/>
          <w:w w:val="110"/>
          <w:sz w:val="38"/>
          <w:szCs w:val="36"/>
          <w:highlight w:val="none"/>
        </w:rPr>
      </w:pPr>
    </w:p>
    <w:p w14:paraId="524430F5">
      <w:pPr>
        <w:tabs>
          <w:tab w:val="left" w:pos="1260"/>
        </w:tabs>
        <w:spacing w:after="0"/>
        <w:jc w:val="center"/>
        <w:rPr>
          <w:rFonts w:ascii="Times New Roman" w:hAnsi="Times New Roman"/>
          <w:bCs/>
          <w:color w:val="auto"/>
          <w:spacing w:val="100"/>
          <w:w w:val="110"/>
          <w:sz w:val="38"/>
          <w:szCs w:val="36"/>
          <w:highlight w:val="none"/>
        </w:rPr>
      </w:pPr>
    </w:p>
    <w:p w14:paraId="1D16FC6D">
      <w:pPr>
        <w:tabs>
          <w:tab w:val="left" w:pos="1260"/>
        </w:tabs>
        <w:spacing w:after="0"/>
        <w:jc w:val="center"/>
        <w:rPr>
          <w:rFonts w:ascii="Times New Roman" w:hAnsi="Times New Roman"/>
          <w:bCs/>
          <w:color w:val="auto"/>
          <w:spacing w:val="100"/>
          <w:w w:val="110"/>
          <w:sz w:val="38"/>
          <w:szCs w:val="36"/>
          <w:highlight w:val="none"/>
        </w:rPr>
      </w:pPr>
    </w:p>
    <w:p w14:paraId="15DE97C6">
      <w:pPr>
        <w:tabs>
          <w:tab w:val="left" w:pos="1260"/>
        </w:tabs>
        <w:spacing w:after="0"/>
        <w:jc w:val="center"/>
        <w:rPr>
          <w:rFonts w:ascii="Times New Roman" w:hAnsi="Times New Roman"/>
          <w:bCs/>
          <w:color w:val="auto"/>
          <w:spacing w:val="100"/>
          <w:w w:val="110"/>
          <w:sz w:val="54"/>
          <w:szCs w:val="52"/>
          <w:highlight w:val="none"/>
        </w:rPr>
      </w:pPr>
      <w:r>
        <w:rPr>
          <w:rFonts w:hint="eastAsia" w:ascii="Times New Roman" w:hAnsi="Times New Roman"/>
          <w:bCs/>
          <w:color w:val="auto"/>
          <w:spacing w:val="100"/>
          <w:w w:val="110"/>
          <w:sz w:val="54"/>
          <w:szCs w:val="52"/>
          <w:highlight w:val="none"/>
        </w:rPr>
        <w:t>竞争性磋商</w:t>
      </w:r>
    </w:p>
    <w:p w14:paraId="177146EC">
      <w:pPr>
        <w:tabs>
          <w:tab w:val="left" w:pos="1260"/>
        </w:tabs>
        <w:spacing w:after="0"/>
        <w:jc w:val="center"/>
        <w:rPr>
          <w:rFonts w:ascii="Times New Roman" w:hAnsi="Times New Roman"/>
          <w:color w:val="auto"/>
          <w:spacing w:val="100"/>
          <w:w w:val="110"/>
          <w:sz w:val="102"/>
          <w:szCs w:val="100"/>
          <w:highlight w:val="none"/>
        </w:rPr>
      </w:pPr>
      <w:r>
        <w:rPr>
          <w:rFonts w:hint="eastAsia" w:ascii="Times New Roman" w:hAnsi="Times New Roman"/>
          <w:bCs/>
          <w:color w:val="auto"/>
          <w:spacing w:val="100"/>
          <w:w w:val="110"/>
          <w:sz w:val="102"/>
          <w:szCs w:val="100"/>
          <w:highlight w:val="none"/>
        </w:rPr>
        <w:t>响应文件</w:t>
      </w:r>
    </w:p>
    <w:p w14:paraId="6FBA83DA">
      <w:pPr>
        <w:spacing w:after="0"/>
        <w:jc w:val="center"/>
        <w:rPr>
          <w:rFonts w:ascii="Times New Roman" w:hAnsi="Times New Roman"/>
          <w:color w:val="auto"/>
          <w:sz w:val="46"/>
          <w:szCs w:val="21"/>
          <w:highlight w:val="none"/>
        </w:rPr>
      </w:pPr>
    </w:p>
    <w:p w14:paraId="61614445">
      <w:pPr>
        <w:spacing w:after="0"/>
        <w:jc w:val="center"/>
        <w:rPr>
          <w:rFonts w:ascii="Times New Roman" w:hAnsi="Times New Roman"/>
          <w:color w:val="auto"/>
          <w:sz w:val="46"/>
          <w:szCs w:val="21"/>
          <w:highlight w:val="none"/>
        </w:rPr>
      </w:pPr>
    </w:p>
    <w:p w14:paraId="6B84F17E">
      <w:pPr>
        <w:spacing w:after="0"/>
        <w:jc w:val="center"/>
        <w:rPr>
          <w:rFonts w:ascii="Times New Roman" w:hAnsi="Times New Roman"/>
          <w:color w:val="auto"/>
          <w:sz w:val="46"/>
          <w:szCs w:val="21"/>
          <w:highlight w:val="none"/>
        </w:rPr>
      </w:pPr>
    </w:p>
    <w:p w14:paraId="66315439">
      <w:pPr>
        <w:spacing w:after="0"/>
        <w:ind w:firstLine="1360" w:firstLineChars="400"/>
        <w:rPr>
          <w:rFonts w:ascii="Times New Roman" w:hAnsi="Times New Roman"/>
          <w:color w:val="auto"/>
          <w:sz w:val="34"/>
          <w:szCs w:val="32"/>
          <w:highlight w:val="none"/>
        </w:rPr>
      </w:pPr>
      <w:r>
        <w:rPr>
          <w:rFonts w:hint="eastAsia" w:ascii="Times New Roman" w:hAnsi="Times New Roman"/>
          <w:color w:val="auto"/>
          <w:sz w:val="34"/>
          <w:szCs w:val="32"/>
          <w:highlight w:val="none"/>
        </w:rPr>
        <w:t>项目编号：</w:t>
      </w:r>
      <w:r>
        <w:rPr>
          <w:rFonts w:ascii="Times New Roman" w:hAnsi="Times New Roman"/>
          <w:color w:val="auto"/>
          <w:sz w:val="34"/>
          <w:szCs w:val="32"/>
          <w:highlight w:val="none"/>
          <w:u w:val="single"/>
        </w:rPr>
        <w:t xml:space="preserve">                </w:t>
      </w:r>
    </w:p>
    <w:p w14:paraId="0D790CD1">
      <w:pPr>
        <w:spacing w:after="0"/>
        <w:ind w:firstLine="1360" w:firstLineChars="400"/>
        <w:rPr>
          <w:rFonts w:ascii="Times New Roman" w:hAnsi="Times New Roman"/>
          <w:color w:val="auto"/>
          <w:sz w:val="34"/>
          <w:szCs w:val="32"/>
          <w:highlight w:val="none"/>
          <w:u w:val="single"/>
        </w:rPr>
      </w:pPr>
      <w:r>
        <w:rPr>
          <w:rFonts w:hint="eastAsia" w:ascii="Times New Roman" w:hAnsi="Times New Roman"/>
          <w:color w:val="auto"/>
          <w:sz w:val="34"/>
          <w:szCs w:val="32"/>
          <w:highlight w:val="none"/>
        </w:rPr>
        <w:t>项目名称：</w:t>
      </w:r>
      <w:r>
        <w:rPr>
          <w:rFonts w:ascii="Times New Roman" w:hAnsi="Times New Roman"/>
          <w:color w:val="auto"/>
          <w:sz w:val="34"/>
          <w:szCs w:val="32"/>
          <w:highlight w:val="none"/>
          <w:u w:val="single"/>
        </w:rPr>
        <w:t xml:space="preserve">                </w:t>
      </w:r>
    </w:p>
    <w:p w14:paraId="77ED55EF">
      <w:pPr>
        <w:spacing w:after="0"/>
        <w:ind w:firstLine="1360" w:firstLineChars="400"/>
        <w:rPr>
          <w:rFonts w:ascii="Times New Roman" w:hAnsi="Times New Roman"/>
          <w:color w:val="auto"/>
          <w:sz w:val="34"/>
          <w:szCs w:val="32"/>
          <w:highlight w:val="none"/>
          <w:u w:val="single"/>
        </w:rPr>
      </w:pPr>
      <w:r>
        <w:rPr>
          <w:rFonts w:hint="eastAsia" w:ascii="Times New Roman" w:hAnsi="Times New Roman"/>
          <w:color w:val="auto"/>
          <w:sz w:val="34"/>
          <w:szCs w:val="32"/>
          <w:highlight w:val="none"/>
        </w:rPr>
        <w:t>磋商内容：</w:t>
      </w:r>
      <w:r>
        <w:rPr>
          <w:rFonts w:ascii="Times New Roman" w:hAnsi="Times New Roman"/>
          <w:color w:val="auto"/>
          <w:sz w:val="34"/>
          <w:szCs w:val="32"/>
          <w:highlight w:val="none"/>
          <w:u w:val="single"/>
        </w:rPr>
        <w:t xml:space="preserve">                </w:t>
      </w:r>
    </w:p>
    <w:p w14:paraId="6706B1E0">
      <w:pPr>
        <w:spacing w:after="0"/>
        <w:ind w:firstLine="1380" w:firstLineChars="300"/>
        <w:rPr>
          <w:rFonts w:ascii="Times New Roman" w:hAnsi="Times New Roman"/>
          <w:color w:val="auto"/>
          <w:sz w:val="46"/>
          <w:szCs w:val="21"/>
          <w:highlight w:val="none"/>
        </w:rPr>
      </w:pPr>
    </w:p>
    <w:p w14:paraId="06E2C88D">
      <w:pPr>
        <w:spacing w:after="0"/>
        <w:ind w:firstLine="1683" w:firstLineChars="495"/>
        <w:rPr>
          <w:rFonts w:ascii="Times New Roman" w:hAnsi="Times New Roman"/>
          <w:color w:val="auto"/>
          <w:sz w:val="34"/>
          <w:szCs w:val="32"/>
          <w:highlight w:val="none"/>
          <w:u w:val="single"/>
        </w:rPr>
      </w:pPr>
      <w:r>
        <w:rPr>
          <w:rFonts w:hint="eastAsia" w:ascii="Times New Roman" w:hAnsi="Times New Roman"/>
          <w:color w:val="auto"/>
          <w:sz w:val="34"/>
          <w:szCs w:val="32"/>
          <w:highlight w:val="none"/>
        </w:rPr>
        <w:t>供应商名称：</w:t>
      </w:r>
      <w:r>
        <w:rPr>
          <w:rFonts w:hint="eastAsia" w:ascii="Times New Roman" w:hAnsi="Times New Roman"/>
          <w:color w:val="auto"/>
          <w:sz w:val="34"/>
          <w:szCs w:val="32"/>
          <w:highlight w:val="none"/>
          <w:u w:val="single"/>
        </w:rPr>
        <w:t>（公章）</w:t>
      </w:r>
      <w:r>
        <w:rPr>
          <w:rFonts w:ascii="Times New Roman" w:hAnsi="Times New Roman"/>
          <w:color w:val="auto"/>
          <w:sz w:val="34"/>
          <w:szCs w:val="32"/>
          <w:highlight w:val="none"/>
          <w:u w:val="single"/>
        </w:rPr>
        <w:t xml:space="preserve">        </w:t>
      </w:r>
    </w:p>
    <w:p w14:paraId="45348B76">
      <w:pPr>
        <w:jc w:val="center"/>
        <w:rPr>
          <w:color w:val="auto"/>
          <w:sz w:val="34"/>
          <w:szCs w:val="32"/>
          <w:highlight w:val="none"/>
        </w:rPr>
      </w:pPr>
    </w:p>
    <w:p w14:paraId="0BD6F73A">
      <w:pPr>
        <w:jc w:val="center"/>
        <w:rPr>
          <w:color w:val="auto"/>
          <w:sz w:val="34"/>
          <w:szCs w:val="32"/>
          <w:highlight w:val="none"/>
        </w:rPr>
        <w:sectPr>
          <w:headerReference r:id="rId10" w:type="first"/>
          <w:footerReference r:id="rId13" w:type="first"/>
          <w:headerReference r:id="rId8" w:type="default"/>
          <w:footerReference r:id="rId11" w:type="default"/>
          <w:headerReference r:id="rId9" w:type="even"/>
          <w:footerReference r:id="rId12" w:type="even"/>
          <w:pgSz w:w="11906" w:h="16838"/>
          <w:pgMar w:top="1134" w:right="1191" w:bottom="1134" w:left="1191" w:header="851" w:footer="624" w:gutter="0"/>
          <w:cols w:space="720" w:num="1"/>
          <w:docGrid w:type="linesAndChars" w:linePitch="312" w:charSpace="0"/>
        </w:sectPr>
      </w:pPr>
      <w:r>
        <w:rPr>
          <w:rFonts w:hint="eastAsia"/>
          <w:color w:val="auto"/>
          <w:sz w:val="34"/>
          <w:szCs w:val="32"/>
          <w:highlight w:val="none"/>
        </w:rPr>
        <w:t>年</w:t>
      </w:r>
      <w:r>
        <w:rPr>
          <w:color w:val="auto"/>
          <w:sz w:val="34"/>
          <w:szCs w:val="32"/>
          <w:highlight w:val="none"/>
        </w:rPr>
        <w:t xml:space="preserve">  </w:t>
      </w:r>
      <w:r>
        <w:rPr>
          <w:rFonts w:hint="eastAsia"/>
          <w:color w:val="auto"/>
          <w:sz w:val="34"/>
          <w:szCs w:val="32"/>
          <w:highlight w:val="none"/>
        </w:rPr>
        <w:t>月</w:t>
      </w:r>
      <w:r>
        <w:rPr>
          <w:color w:val="auto"/>
          <w:sz w:val="34"/>
          <w:szCs w:val="32"/>
          <w:highlight w:val="none"/>
        </w:rPr>
        <w:t xml:space="preserve">  </w:t>
      </w:r>
      <w:r>
        <w:rPr>
          <w:rFonts w:hint="eastAsia"/>
          <w:color w:val="auto"/>
          <w:sz w:val="34"/>
          <w:szCs w:val="32"/>
          <w:highlight w:val="none"/>
        </w:rPr>
        <w:t>日</w:t>
      </w:r>
    </w:p>
    <w:p w14:paraId="19EA2636">
      <w:pPr>
        <w:jc w:val="center"/>
        <w:outlineLvl w:val="0"/>
        <w:rPr>
          <w:b/>
          <w:bCs/>
          <w:color w:val="auto"/>
          <w:sz w:val="32"/>
          <w:szCs w:val="32"/>
          <w:highlight w:val="none"/>
        </w:rPr>
      </w:pPr>
      <w:bookmarkStart w:id="139" w:name="_Toc16071"/>
      <w:bookmarkStart w:id="140" w:name="_Toc8894"/>
      <w:bookmarkStart w:id="141" w:name="_Toc13627"/>
      <w:bookmarkStart w:id="142" w:name="_Toc20755"/>
      <w:bookmarkStart w:id="143" w:name="_Toc13829"/>
      <w:bookmarkStart w:id="144" w:name="_Toc7419"/>
      <w:r>
        <w:rPr>
          <w:rFonts w:hint="eastAsia"/>
          <w:b/>
          <w:bCs/>
          <w:color w:val="auto"/>
          <w:sz w:val="32"/>
          <w:szCs w:val="32"/>
          <w:highlight w:val="none"/>
        </w:rPr>
        <w:t>评审导航表</w:t>
      </w:r>
      <w:bookmarkEnd w:id="139"/>
      <w:bookmarkEnd w:id="140"/>
      <w:bookmarkEnd w:id="141"/>
      <w:bookmarkEnd w:id="142"/>
      <w:bookmarkEnd w:id="143"/>
      <w:bookmarkEnd w:id="144"/>
    </w:p>
    <w:p w14:paraId="038DC045">
      <w:pPr>
        <w:jc w:val="center"/>
        <w:outlineLvl w:val="0"/>
        <w:rPr>
          <w:rFonts w:hint="eastAsia" w:ascii="宋体" w:hAnsi="宋体" w:cs="宋体"/>
          <w:color w:val="auto"/>
          <w:sz w:val="24"/>
          <w:highlight w:val="none"/>
        </w:rPr>
      </w:pPr>
      <w:bookmarkStart w:id="145" w:name="_Toc2139"/>
      <w:bookmarkStart w:id="146" w:name="_Toc8179"/>
      <w:bookmarkStart w:id="147" w:name="_Toc14936"/>
      <w:bookmarkStart w:id="148" w:name="_Toc25907"/>
      <w:bookmarkStart w:id="149" w:name="_Toc3325"/>
      <w:r>
        <w:rPr>
          <w:rFonts w:hint="eastAsia" w:ascii="宋体" w:hAnsi="宋体" w:cs="宋体"/>
          <w:color w:val="auto"/>
          <w:sz w:val="24"/>
          <w:highlight w:val="none"/>
        </w:rPr>
        <w:t>资格性检查表</w:t>
      </w:r>
      <w:r>
        <w:rPr>
          <w:rFonts w:hint="eastAsia" w:ascii="宋体" w:hAnsi="宋体" w:cs="宋体"/>
          <w:b/>
          <w:bCs/>
          <w:color w:val="auto"/>
          <w:sz w:val="24"/>
          <w:highlight w:val="none"/>
        </w:rPr>
        <w:t>（一条不满足即废标）</w:t>
      </w:r>
      <w:bookmarkEnd w:id="145"/>
      <w:bookmarkEnd w:id="146"/>
      <w:bookmarkEnd w:id="147"/>
      <w:bookmarkEnd w:id="148"/>
      <w:bookmarkEnd w:id="149"/>
    </w:p>
    <w:p w14:paraId="6187BD76">
      <w:pPr>
        <w:jc w:val="center"/>
        <w:rPr>
          <w:rFonts w:hint="eastAsia" w:ascii="宋体" w:hAnsi="宋体"/>
          <w:b/>
          <w:color w:val="auto"/>
          <w:sz w:val="24"/>
          <w:szCs w:val="24"/>
          <w:highlight w:val="none"/>
        </w:rPr>
      </w:pPr>
      <w:bookmarkStart w:id="150" w:name="_Toc7351"/>
      <w:bookmarkStart w:id="151" w:name="_Toc26876"/>
      <w:bookmarkStart w:id="152" w:name="_Toc19922"/>
      <w:bookmarkStart w:id="153" w:name="_Toc12668"/>
      <w:r>
        <w:rPr>
          <w:rFonts w:hint="eastAsia" w:ascii="宋体" w:hAnsi="宋体"/>
          <w:b/>
          <w:color w:val="auto"/>
          <w:sz w:val="24"/>
          <w:szCs w:val="24"/>
          <w:highlight w:val="none"/>
        </w:rPr>
        <w:t>资格审查对照表</w:t>
      </w:r>
    </w:p>
    <w:p w14:paraId="276CF8BE">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 xml:space="preserve"> </w:t>
      </w:r>
    </w:p>
    <w:p w14:paraId="24C7CE95">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宋体" w:hAnsi="宋体"/>
          <w:color w:val="auto"/>
          <w:sz w:val="24"/>
          <w:szCs w:val="24"/>
          <w:highlight w:val="none"/>
        </w:rPr>
      </w:pPr>
      <w:r>
        <w:rPr>
          <w:rFonts w:hint="eastAsia" w:ascii="宋体" w:hAnsi="宋体"/>
          <w:color w:val="auto"/>
          <w:sz w:val="24"/>
          <w:szCs w:val="24"/>
          <w:highlight w:val="none"/>
          <w:lang w:val="zh-CN"/>
        </w:rPr>
        <w:t>项目编号：</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 xml:space="preserve">     </w:t>
      </w:r>
      <w:r>
        <w:rPr>
          <w:rFonts w:hint="eastAsia" w:ascii="宋体" w:hAnsi="宋体"/>
          <w:bCs/>
          <w:color w:val="auto"/>
          <w:sz w:val="24"/>
          <w:szCs w:val="24"/>
          <w:highlight w:val="none"/>
          <w:lang w:val="zh-CN"/>
        </w:rPr>
        <w:t xml:space="preserve">                项目名称：</w:t>
      </w:r>
      <w:r>
        <w:rPr>
          <w:rFonts w:hint="eastAsia" w:ascii="宋体" w:hAnsi="宋体"/>
          <w:bCs/>
          <w:color w:val="auto"/>
          <w:sz w:val="24"/>
          <w:szCs w:val="24"/>
          <w:highlight w:val="none"/>
          <w:u w:val="single"/>
          <w:lang w:val="zh-CN"/>
        </w:rPr>
        <w:t xml:space="preserve">           </w:t>
      </w:r>
    </w:p>
    <w:tbl>
      <w:tblPr>
        <w:tblStyle w:val="36"/>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2675"/>
      </w:tblGrid>
      <w:tr w14:paraId="7F4C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tcBorders>
              <w:top w:val="single" w:color="auto" w:sz="4" w:space="0"/>
              <w:left w:val="single" w:color="auto" w:sz="4" w:space="0"/>
              <w:bottom w:val="single" w:color="auto" w:sz="4" w:space="0"/>
              <w:right w:val="single" w:color="auto" w:sz="4" w:space="0"/>
            </w:tcBorders>
            <w:shd w:val="clear" w:color="auto" w:fill="F1F1F1"/>
            <w:vAlign w:val="center"/>
          </w:tcPr>
          <w:p w14:paraId="4B7388DD">
            <w:pPr>
              <w:jc w:val="center"/>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序号</w:t>
            </w:r>
          </w:p>
        </w:tc>
        <w:tc>
          <w:tcPr>
            <w:tcW w:w="3032" w:type="dxa"/>
            <w:tcBorders>
              <w:top w:val="single" w:color="auto" w:sz="4" w:space="0"/>
              <w:left w:val="single" w:color="auto" w:sz="4" w:space="0"/>
              <w:bottom w:val="single" w:color="auto" w:sz="4" w:space="0"/>
              <w:right w:val="single" w:color="auto" w:sz="4" w:space="0"/>
            </w:tcBorders>
            <w:shd w:val="clear" w:color="auto" w:fill="F1F1F1"/>
            <w:vAlign w:val="center"/>
          </w:tcPr>
          <w:p w14:paraId="1F239AFA">
            <w:pPr>
              <w:jc w:val="center"/>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资格</w:t>
            </w:r>
            <w:r>
              <w:rPr>
                <w:rFonts w:hint="eastAsia" w:ascii="宋体" w:hAnsi="宋体" w:cs="Corbel"/>
                <w:color w:val="auto"/>
                <w:sz w:val="24"/>
                <w:szCs w:val="24"/>
                <w:highlight w:val="none"/>
              </w:rPr>
              <w:t>审查条款</w:t>
            </w:r>
          </w:p>
        </w:tc>
        <w:tc>
          <w:tcPr>
            <w:tcW w:w="2754" w:type="dxa"/>
            <w:tcBorders>
              <w:top w:val="single" w:color="auto" w:sz="4" w:space="0"/>
              <w:left w:val="single" w:color="auto" w:sz="4" w:space="0"/>
              <w:bottom w:val="single" w:color="auto" w:sz="4" w:space="0"/>
              <w:right w:val="single" w:color="auto" w:sz="4" w:space="0"/>
            </w:tcBorders>
            <w:shd w:val="clear" w:color="auto" w:fill="F1F1F1"/>
            <w:vAlign w:val="center"/>
          </w:tcPr>
          <w:p w14:paraId="0AF2CBF9">
            <w:pPr>
              <w:jc w:val="center"/>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响应内容对应简述</w:t>
            </w:r>
          </w:p>
        </w:tc>
        <w:tc>
          <w:tcPr>
            <w:tcW w:w="2675" w:type="dxa"/>
            <w:tcBorders>
              <w:top w:val="single" w:color="auto" w:sz="4" w:space="0"/>
              <w:left w:val="single" w:color="auto" w:sz="4" w:space="0"/>
              <w:bottom w:val="single" w:color="auto" w:sz="4" w:space="0"/>
              <w:right w:val="single" w:color="auto" w:sz="4" w:space="0"/>
            </w:tcBorders>
            <w:shd w:val="clear" w:color="auto" w:fill="F1F1F1"/>
            <w:vAlign w:val="center"/>
          </w:tcPr>
          <w:p w14:paraId="4F42D32A">
            <w:pPr>
              <w:jc w:val="center"/>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偏离说明</w:t>
            </w:r>
          </w:p>
        </w:tc>
      </w:tr>
      <w:tr w14:paraId="0578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tcBorders>
              <w:top w:val="single" w:color="auto" w:sz="4" w:space="0"/>
              <w:left w:val="single" w:color="auto" w:sz="4" w:space="0"/>
              <w:bottom w:val="single" w:color="auto" w:sz="4" w:space="0"/>
              <w:right w:val="single" w:color="auto" w:sz="4" w:space="0"/>
            </w:tcBorders>
            <w:vAlign w:val="center"/>
          </w:tcPr>
          <w:p w14:paraId="10A7989F">
            <w:pPr>
              <w:jc w:val="center"/>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1</w:t>
            </w:r>
          </w:p>
        </w:tc>
        <w:tc>
          <w:tcPr>
            <w:tcW w:w="3032" w:type="dxa"/>
            <w:tcBorders>
              <w:top w:val="single" w:color="auto" w:sz="4" w:space="0"/>
              <w:left w:val="single" w:color="auto" w:sz="4" w:space="0"/>
              <w:bottom w:val="single" w:color="auto" w:sz="4" w:space="0"/>
              <w:right w:val="single" w:color="auto" w:sz="4" w:space="0"/>
            </w:tcBorders>
            <w:vAlign w:val="center"/>
          </w:tcPr>
          <w:p w14:paraId="04FAAE93">
            <w:pPr>
              <w:jc w:val="center"/>
              <w:rPr>
                <w:rFonts w:hint="eastAsia" w:ascii="宋体" w:hAnsi="宋体" w:cs="仿宋_GB2312"/>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vAlign w:val="center"/>
          </w:tcPr>
          <w:p w14:paraId="60C95124">
            <w:pPr>
              <w:jc w:val="center"/>
              <w:rPr>
                <w:rFonts w:hint="eastAsia" w:ascii="宋体" w:hAnsi="宋体" w:cs="仿宋_GB2312"/>
                <w:color w:val="auto"/>
                <w:sz w:val="24"/>
                <w:szCs w:val="24"/>
                <w:highlight w:val="none"/>
              </w:rPr>
            </w:pPr>
          </w:p>
        </w:tc>
        <w:tc>
          <w:tcPr>
            <w:tcW w:w="2675" w:type="dxa"/>
            <w:tcBorders>
              <w:top w:val="single" w:color="auto" w:sz="4" w:space="0"/>
              <w:left w:val="single" w:color="auto" w:sz="4" w:space="0"/>
              <w:bottom w:val="single" w:color="auto" w:sz="4" w:space="0"/>
              <w:right w:val="single" w:color="auto" w:sz="4" w:space="0"/>
            </w:tcBorders>
            <w:vAlign w:val="center"/>
          </w:tcPr>
          <w:p w14:paraId="509E9B23">
            <w:pPr>
              <w:jc w:val="center"/>
              <w:rPr>
                <w:rFonts w:hint="eastAsia" w:ascii="宋体" w:hAnsi="宋体" w:cs="仿宋_GB2312"/>
                <w:color w:val="auto"/>
                <w:sz w:val="24"/>
                <w:szCs w:val="24"/>
                <w:highlight w:val="none"/>
              </w:rPr>
            </w:pPr>
          </w:p>
        </w:tc>
      </w:tr>
      <w:tr w14:paraId="3C8E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tcBorders>
              <w:top w:val="single" w:color="auto" w:sz="4" w:space="0"/>
              <w:left w:val="single" w:color="auto" w:sz="4" w:space="0"/>
              <w:bottom w:val="single" w:color="auto" w:sz="4" w:space="0"/>
              <w:right w:val="single" w:color="auto" w:sz="4" w:space="0"/>
            </w:tcBorders>
            <w:vAlign w:val="center"/>
          </w:tcPr>
          <w:p w14:paraId="72330A38">
            <w:pPr>
              <w:jc w:val="center"/>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2</w:t>
            </w:r>
          </w:p>
        </w:tc>
        <w:tc>
          <w:tcPr>
            <w:tcW w:w="3032" w:type="dxa"/>
            <w:tcBorders>
              <w:top w:val="single" w:color="auto" w:sz="4" w:space="0"/>
              <w:left w:val="single" w:color="auto" w:sz="4" w:space="0"/>
              <w:bottom w:val="single" w:color="auto" w:sz="4" w:space="0"/>
              <w:right w:val="single" w:color="auto" w:sz="4" w:space="0"/>
            </w:tcBorders>
            <w:vAlign w:val="center"/>
          </w:tcPr>
          <w:p w14:paraId="609CE549">
            <w:pPr>
              <w:jc w:val="center"/>
              <w:rPr>
                <w:rFonts w:hint="eastAsia" w:ascii="宋体" w:hAnsi="宋体" w:cs="仿宋_GB2312"/>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vAlign w:val="center"/>
          </w:tcPr>
          <w:p w14:paraId="6635C87F">
            <w:pPr>
              <w:jc w:val="center"/>
              <w:rPr>
                <w:rFonts w:hint="eastAsia" w:ascii="宋体" w:hAnsi="宋体" w:cs="仿宋_GB2312"/>
                <w:color w:val="auto"/>
                <w:sz w:val="24"/>
                <w:szCs w:val="24"/>
                <w:highlight w:val="none"/>
              </w:rPr>
            </w:pPr>
          </w:p>
        </w:tc>
        <w:tc>
          <w:tcPr>
            <w:tcW w:w="2675" w:type="dxa"/>
            <w:tcBorders>
              <w:top w:val="single" w:color="auto" w:sz="4" w:space="0"/>
              <w:left w:val="single" w:color="auto" w:sz="4" w:space="0"/>
              <w:bottom w:val="single" w:color="auto" w:sz="4" w:space="0"/>
              <w:right w:val="single" w:color="auto" w:sz="4" w:space="0"/>
            </w:tcBorders>
            <w:vAlign w:val="center"/>
          </w:tcPr>
          <w:p w14:paraId="68E5AB76">
            <w:pPr>
              <w:jc w:val="center"/>
              <w:rPr>
                <w:rFonts w:hint="eastAsia" w:ascii="宋体" w:hAnsi="宋体" w:cs="仿宋_GB2312"/>
                <w:color w:val="auto"/>
                <w:sz w:val="24"/>
                <w:szCs w:val="24"/>
                <w:highlight w:val="none"/>
              </w:rPr>
            </w:pPr>
          </w:p>
        </w:tc>
      </w:tr>
      <w:tr w14:paraId="3397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tcBorders>
              <w:top w:val="single" w:color="auto" w:sz="4" w:space="0"/>
              <w:left w:val="single" w:color="auto" w:sz="4" w:space="0"/>
              <w:bottom w:val="single" w:color="auto" w:sz="4" w:space="0"/>
              <w:right w:val="single" w:color="auto" w:sz="4" w:space="0"/>
            </w:tcBorders>
            <w:vAlign w:val="center"/>
          </w:tcPr>
          <w:p w14:paraId="6E489901">
            <w:pPr>
              <w:jc w:val="center"/>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3</w:t>
            </w:r>
          </w:p>
        </w:tc>
        <w:tc>
          <w:tcPr>
            <w:tcW w:w="3032" w:type="dxa"/>
            <w:tcBorders>
              <w:top w:val="single" w:color="auto" w:sz="4" w:space="0"/>
              <w:left w:val="single" w:color="auto" w:sz="4" w:space="0"/>
              <w:bottom w:val="single" w:color="auto" w:sz="4" w:space="0"/>
              <w:right w:val="single" w:color="auto" w:sz="4" w:space="0"/>
            </w:tcBorders>
            <w:vAlign w:val="center"/>
          </w:tcPr>
          <w:p w14:paraId="1F553AEF">
            <w:pPr>
              <w:jc w:val="center"/>
              <w:rPr>
                <w:rFonts w:hint="eastAsia" w:ascii="宋体" w:hAnsi="宋体" w:cs="仿宋_GB2312"/>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vAlign w:val="center"/>
          </w:tcPr>
          <w:p w14:paraId="78080824">
            <w:pPr>
              <w:jc w:val="center"/>
              <w:rPr>
                <w:rFonts w:hint="eastAsia" w:ascii="宋体" w:hAnsi="宋体" w:cs="仿宋_GB2312"/>
                <w:color w:val="auto"/>
                <w:sz w:val="24"/>
                <w:szCs w:val="24"/>
                <w:highlight w:val="none"/>
              </w:rPr>
            </w:pPr>
          </w:p>
        </w:tc>
        <w:tc>
          <w:tcPr>
            <w:tcW w:w="2675" w:type="dxa"/>
            <w:tcBorders>
              <w:top w:val="single" w:color="auto" w:sz="4" w:space="0"/>
              <w:left w:val="single" w:color="auto" w:sz="4" w:space="0"/>
              <w:bottom w:val="single" w:color="auto" w:sz="4" w:space="0"/>
              <w:right w:val="single" w:color="auto" w:sz="4" w:space="0"/>
            </w:tcBorders>
            <w:vAlign w:val="center"/>
          </w:tcPr>
          <w:p w14:paraId="430FE938">
            <w:pPr>
              <w:jc w:val="center"/>
              <w:rPr>
                <w:rFonts w:hint="eastAsia" w:ascii="宋体" w:hAnsi="宋体" w:cs="仿宋_GB2312"/>
                <w:color w:val="auto"/>
                <w:sz w:val="24"/>
                <w:szCs w:val="24"/>
                <w:highlight w:val="none"/>
              </w:rPr>
            </w:pPr>
          </w:p>
        </w:tc>
      </w:tr>
      <w:tr w14:paraId="13A5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tcBorders>
              <w:top w:val="single" w:color="auto" w:sz="4" w:space="0"/>
              <w:left w:val="single" w:color="auto" w:sz="4" w:space="0"/>
              <w:bottom w:val="single" w:color="auto" w:sz="4" w:space="0"/>
              <w:right w:val="single" w:color="auto" w:sz="4" w:space="0"/>
            </w:tcBorders>
            <w:vAlign w:val="center"/>
          </w:tcPr>
          <w:p w14:paraId="2601C756">
            <w:pPr>
              <w:jc w:val="center"/>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4</w:t>
            </w:r>
          </w:p>
        </w:tc>
        <w:tc>
          <w:tcPr>
            <w:tcW w:w="3032" w:type="dxa"/>
            <w:tcBorders>
              <w:top w:val="single" w:color="auto" w:sz="4" w:space="0"/>
              <w:left w:val="single" w:color="auto" w:sz="4" w:space="0"/>
              <w:bottom w:val="single" w:color="auto" w:sz="4" w:space="0"/>
              <w:right w:val="single" w:color="auto" w:sz="4" w:space="0"/>
            </w:tcBorders>
            <w:vAlign w:val="center"/>
          </w:tcPr>
          <w:p w14:paraId="591FB5D4">
            <w:pPr>
              <w:jc w:val="center"/>
              <w:rPr>
                <w:rFonts w:hint="eastAsia" w:ascii="宋体" w:hAnsi="宋体" w:cs="仿宋_GB2312"/>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vAlign w:val="center"/>
          </w:tcPr>
          <w:p w14:paraId="11DCBCF5">
            <w:pPr>
              <w:jc w:val="center"/>
              <w:rPr>
                <w:rFonts w:hint="eastAsia" w:ascii="宋体" w:hAnsi="宋体" w:cs="仿宋_GB2312"/>
                <w:color w:val="auto"/>
                <w:sz w:val="24"/>
                <w:szCs w:val="24"/>
                <w:highlight w:val="none"/>
              </w:rPr>
            </w:pPr>
          </w:p>
        </w:tc>
        <w:tc>
          <w:tcPr>
            <w:tcW w:w="2675" w:type="dxa"/>
            <w:tcBorders>
              <w:top w:val="single" w:color="auto" w:sz="4" w:space="0"/>
              <w:left w:val="single" w:color="auto" w:sz="4" w:space="0"/>
              <w:bottom w:val="single" w:color="auto" w:sz="4" w:space="0"/>
              <w:right w:val="single" w:color="auto" w:sz="4" w:space="0"/>
            </w:tcBorders>
            <w:vAlign w:val="center"/>
          </w:tcPr>
          <w:p w14:paraId="7C5BEAB1">
            <w:pPr>
              <w:jc w:val="center"/>
              <w:rPr>
                <w:rFonts w:hint="eastAsia" w:ascii="宋体" w:hAnsi="宋体" w:cs="仿宋_GB2312"/>
                <w:color w:val="auto"/>
                <w:sz w:val="24"/>
                <w:szCs w:val="24"/>
                <w:highlight w:val="none"/>
              </w:rPr>
            </w:pPr>
          </w:p>
        </w:tc>
      </w:tr>
      <w:tr w14:paraId="22E0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tcBorders>
              <w:top w:val="single" w:color="auto" w:sz="4" w:space="0"/>
              <w:left w:val="single" w:color="auto" w:sz="4" w:space="0"/>
              <w:bottom w:val="single" w:color="auto" w:sz="4" w:space="0"/>
              <w:right w:val="single" w:color="auto" w:sz="4" w:space="0"/>
            </w:tcBorders>
            <w:vAlign w:val="center"/>
          </w:tcPr>
          <w:p w14:paraId="0124A6DF">
            <w:pPr>
              <w:jc w:val="center"/>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5</w:t>
            </w:r>
          </w:p>
        </w:tc>
        <w:tc>
          <w:tcPr>
            <w:tcW w:w="3032" w:type="dxa"/>
            <w:tcBorders>
              <w:top w:val="single" w:color="auto" w:sz="4" w:space="0"/>
              <w:left w:val="single" w:color="auto" w:sz="4" w:space="0"/>
              <w:bottom w:val="single" w:color="auto" w:sz="4" w:space="0"/>
              <w:right w:val="single" w:color="auto" w:sz="4" w:space="0"/>
            </w:tcBorders>
            <w:vAlign w:val="center"/>
          </w:tcPr>
          <w:p w14:paraId="686A4B3F">
            <w:pPr>
              <w:jc w:val="center"/>
              <w:rPr>
                <w:rFonts w:hint="eastAsia" w:ascii="宋体" w:hAnsi="宋体" w:cs="仿宋_GB2312"/>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vAlign w:val="center"/>
          </w:tcPr>
          <w:p w14:paraId="057E3A98">
            <w:pPr>
              <w:jc w:val="center"/>
              <w:rPr>
                <w:rFonts w:hint="eastAsia" w:ascii="宋体" w:hAnsi="宋体" w:cs="仿宋_GB2312"/>
                <w:color w:val="auto"/>
                <w:sz w:val="24"/>
                <w:szCs w:val="24"/>
                <w:highlight w:val="none"/>
              </w:rPr>
            </w:pPr>
          </w:p>
        </w:tc>
        <w:tc>
          <w:tcPr>
            <w:tcW w:w="2675" w:type="dxa"/>
            <w:tcBorders>
              <w:top w:val="single" w:color="auto" w:sz="4" w:space="0"/>
              <w:left w:val="single" w:color="auto" w:sz="4" w:space="0"/>
              <w:bottom w:val="single" w:color="auto" w:sz="4" w:space="0"/>
              <w:right w:val="single" w:color="auto" w:sz="4" w:space="0"/>
            </w:tcBorders>
            <w:vAlign w:val="center"/>
          </w:tcPr>
          <w:p w14:paraId="36F95A5B">
            <w:pPr>
              <w:jc w:val="center"/>
              <w:rPr>
                <w:rFonts w:hint="eastAsia" w:ascii="宋体" w:hAnsi="宋体" w:cs="仿宋_GB2312"/>
                <w:color w:val="auto"/>
                <w:sz w:val="24"/>
                <w:szCs w:val="24"/>
                <w:highlight w:val="none"/>
              </w:rPr>
            </w:pPr>
          </w:p>
        </w:tc>
      </w:tr>
      <w:tr w14:paraId="185F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tcBorders>
              <w:top w:val="single" w:color="auto" w:sz="4" w:space="0"/>
              <w:left w:val="single" w:color="auto" w:sz="4" w:space="0"/>
              <w:bottom w:val="single" w:color="auto" w:sz="4" w:space="0"/>
              <w:right w:val="single" w:color="auto" w:sz="4" w:space="0"/>
            </w:tcBorders>
            <w:vAlign w:val="center"/>
          </w:tcPr>
          <w:p w14:paraId="28569729">
            <w:pPr>
              <w:jc w:val="center"/>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w:t>
            </w:r>
          </w:p>
        </w:tc>
        <w:tc>
          <w:tcPr>
            <w:tcW w:w="3032" w:type="dxa"/>
            <w:tcBorders>
              <w:top w:val="single" w:color="auto" w:sz="4" w:space="0"/>
              <w:left w:val="single" w:color="auto" w:sz="4" w:space="0"/>
              <w:bottom w:val="single" w:color="auto" w:sz="4" w:space="0"/>
              <w:right w:val="single" w:color="auto" w:sz="4" w:space="0"/>
            </w:tcBorders>
            <w:vAlign w:val="center"/>
          </w:tcPr>
          <w:p w14:paraId="53780F15">
            <w:pPr>
              <w:jc w:val="center"/>
              <w:rPr>
                <w:rFonts w:hint="eastAsia" w:ascii="宋体" w:hAnsi="宋体" w:cs="仿宋_GB2312"/>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vAlign w:val="center"/>
          </w:tcPr>
          <w:p w14:paraId="3F059089">
            <w:pPr>
              <w:jc w:val="center"/>
              <w:rPr>
                <w:rFonts w:hint="eastAsia" w:ascii="宋体" w:hAnsi="宋体" w:cs="仿宋_GB2312"/>
                <w:color w:val="auto"/>
                <w:sz w:val="24"/>
                <w:szCs w:val="24"/>
                <w:highlight w:val="none"/>
              </w:rPr>
            </w:pPr>
          </w:p>
        </w:tc>
        <w:tc>
          <w:tcPr>
            <w:tcW w:w="2675" w:type="dxa"/>
            <w:tcBorders>
              <w:top w:val="single" w:color="auto" w:sz="4" w:space="0"/>
              <w:left w:val="single" w:color="auto" w:sz="4" w:space="0"/>
              <w:bottom w:val="single" w:color="auto" w:sz="4" w:space="0"/>
              <w:right w:val="single" w:color="auto" w:sz="4" w:space="0"/>
            </w:tcBorders>
            <w:vAlign w:val="center"/>
          </w:tcPr>
          <w:p w14:paraId="0831330E">
            <w:pPr>
              <w:jc w:val="center"/>
              <w:rPr>
                <w:rFonts w:hint="eastAsia" w:ascii="宋体" w:hAnsi="宋体" w:cs="仿宋_GB2312"/>
                <w:color w:val="auto"/>
                <w:sz w:val="24"/>
                <w:szCs w:val="24"/>
                <w:highlight w:val="none"/>
              </w:rPr>
            </w:pPr>
          </w:p>
        </w:tc>
      </w:tr>
    </w:tbl>
    <w:p w14:paraId="11F6A6F0">
      <w:pPr>
        <w:spacing w:after="0"/>
        <w:ind w:left="1092" w:hanging="1092" w:hangingChars="455"/>
        <w:rPr>
          <w:rFonts w:hint="eastAsia" w:ascii="宋体" w:hAnsi="宋体"/>
          <w:b/>
          <w:color w:val="auto"/>
          <w:sz w:val="24"/>
          <w:szCs w:val="24"/>
          <w:highlight w:val="none"/>
        </w:rPr>
      </w:pPr>
      <w:r>
        <w:rPr>
          <w:rFonts w:hint="eastAsia" w:ascii="宋体" w:hAnsi="宋体"/>
          <w:color w:val="auto"/>
          <w:sz w:val="24"/>
          <w:szCs w:val="24"/>
          <w:highlight w:val="none"/>
        </w:rPr>
        <w:t>说明</w:t>
      </w:r>
      <w:r>
        <w:rPr>
          <w:rFonts w:hint="eastAsia" w:ascii="宋体" w:hAnsi="宋体" w:cs="Corbel"/>
          <w:color w:val="auto"/>
          <w:sz w:val="24"/>
          <w:szCs w:val="24"/>
          <w:highlight w:val="none"/>
        </w:rPr>
        <w:t>： 1</w:t>
      </w:r>
      <w:r>
        <w:rPr>
          <w:rFonts w:hint="eastAsia" w:ascii="宋体" w:hAnsi="宋体"/>
          <w:color w:val="auto"/>
          <w:sz w:val="24"/>
          <w:szCs w:val="24"/>
          <w:highlight w:val="none"/>
        </w:rPr>
        <w:t>．</w:t>
      </w:r>
      <w:r>
        <w:rPr>
          <w:rFonts w:hint="eastAsia" w:ascii="宋体" w:hAnsi="宋体" w:cs="Corbel"/>
          <w:color w:val="auto"/>
          <w:sz w:val="24"/>
          <w:szCs w:val="24"/>
          <w:highlight w:val="none"/>
        </w:rPr>
        <w:t>供应商应对照采购文件第四章中《资格审查表》的条款逐项说明是否满足要求，如有偏离,供应商应详细说明。未按照要求详细完整填写此表或仅注明“符合”、“满足”的，</w:t>
      </w:r>
      <w:r>
        <w:rPr>
          <w:rFonts w:hint="eastAsia" w:ascii="宋体" w:hAnsi="宋体"/>
          <w:color w:val="auto"/>
          <w:sz w:val="24"/>
          <w:szCs w:val="24"/>
          <w:highlight w:val="none"/>
        </w:rPr>
        <w:t>导致的后果由供应商自行承担。</w:t>
      </w:r>
    </w:p>
    <w:p w14:paraId="388C1408">
      <w:pPr>
        <w:spacing w:after="0"/>
        <w:ind w:left="1095" w:leftChars="339" w:hanging="350" w:hangingChars="146"/>
        <w:rPr>
          <w:rFonts w:hint="eastAsia" w:ascii="宋体" w:hAnsi="宋体"/>
          <w:b/>
          <w:color w:val="auto"/>
          <w:kern w:val="2"/>
          <w:sz w:val="24"/>
          <w:szCs w:val="24"/>
          <w:highlight w:val="none"/>
        </w:rPr>
      </w:pPr>
      <w:r>
        <w:rPr>
          <w:rFonts w:hint="eastAsia" w:ascii="宋体" w:hAnsi="宋体" w:cs="Corbel"/>
          <w:color w:val="auto"/>
          <w:sz w:val="24"/>
          <w:szCs w:val="24"/>
          <w:highlight w:val="none"/>
        </w:rPr>
        <w:t>2．</w:t>
      </w:r>
      <w:r>
        <w:rPr>
          <w:rFonts w:hint="eastAsia" w:ascii="宋体" w:hAnsi="宋体"/>
          <w:b/>
          <w:color w:val="auto"/>
          <w:sz w:val="24"/>
          <w:szCs w:val="24"/>
          <w:highlight w:val="none"/>
        </w:rPr>
        <w:t>供应商应将评审条款</w:t>
      </w:r>
      <w:r>
        <w:rPr>
          <w:rFonts w:ascii="宋体" w:hAnsi="宋体"/>
          <w:b/>
          <w:color w:val="auto"/>
          <w:sz w:val="24"/>
          <w:szCs w:val="24"/>
          <w:highlight w:val="none"/>
        </w:rPr>
        <w:t>与</w:t>
      </w:r>
      <w:r>
        <w:rPr>
          <w:rFonts w:hint="eastAsia" w:ascii="宋体" w:hAnsi="宋体"/>
          <w:b/>
          <w:color w:val="auto"/>
          <w:sz w:val="24"/>
          <w:szCs w:val="24"/>
          <w:highlight w:val="none"/>
        </w:rPr>
        <w:t>响应</w:t>
      </w:r>
      <w:r>
        <w:rPr>
          <w:rFonts w:ascii="宋体" w:hAnsi="宋体"/>
          <w:b/>
          <w:color w:val="auto"/>
          <w:sz w:val="24"/>
          <w:szCs w:val="24"/>
          <w:highlight w:val="none"/>
        </w:rPr>
        <w:t>文件</w:t>
      </w:r>
      <w:r>
        <w:rPr>
          <w:rFonts w:hint="eastAsia" w:ascii="宋体" w:hAnsi="宋体"/>
          <w:b/>
          <w:color w:val="auto"/>
          <w:sz w:val="24"/>
          <w:szCs w:val="24"/>
          <w:highlight w:val="none"/>
        </w:rPr>
        <w:t>中相关</w:t>
      </w:r>
      <w:r>
        <w:rPr>
          <w:rFonts w:ascii="宋体" w:hAnsi="宋体"/>
          <w:b/>
          <w:color w:val="auto"/>
          <w:sz w:val="24"/>
          <w:szCs w:val="24"/>
          <w:highlight w:val="none"/>
        </w:rPr>
        <w:t>证明材料建立对应关系</w:t>
      </w:r>
      <w:r>
        <w:rPr>
          <w:rFonts w:hint="eastAsia" w:ascii="宋体" w:hAnsi="宋体"/>
          <w:b/>
          <w:color w:val="auto"/>
          <w:sz w:val="24"/>
          <w:szCs w:val="24"/>
          <w:highlight w:val="none"/>
        </w:rPr>
        <w:t>。</w:t>
      </w:r>
    </w:p>
    <w:p w14:paraId="1F4EFB19">
      <w:pPr>
        <w:spacing w:before="100" w:beforeAutospacing="1" w:after="100" w:afterAutospacing="1"/>
        <w:ind w:firstLine="3811" w:firstLineChars="1588"/>
        <w:rPr>
          <w:rFonts w:hint="eastAsia" w:ascii="宋体" w:hAnsi="宋体"/>
          <w:b/>
          <w:bCs/>
          <w:color w:val="auto"/>
          <w:sz w:val="24"/>
          <w:szCs w:val="24"/>
          <w:highlight w:val="none"/>
          <w:lang w:val="zh-CN"/>
        </w:rPr>
      </w:pPr>
    </w:p>
    <w:p w14:paraId="7CB1C869">
      <w:pPr>
        <w:spacing w:before="100" w:beforeAutospacing="1" w:after="100" w:afterAutospacing="1"/>
        <w:ind w:firstLine="3316" w:firstLineChars="1382"/>
        <w:rPr>
          <w:rFonts w:hint="eastAsia" w:ascii="宋体" w:hAnsi="宋体"/>
          <w:bCs/>
          <w:color w:val="auto"/>
          <w:sz w:val="24"/>
          <w:szCs w:val="24"/>
          <w:highlight w:val="none"/>
          <w:u w:val="single"/>
        </w:rPr>
      </w:pPr>
      <w:r>
        <w:rPr>
          <w:rFonts w:hint="eastAsia" w:ascii="宋体" w:hAnsi="宋体"/>
          <w:bCs/>
          <w:color w:val="auto"/>
          <w:sz w:val="24"/>
          <w:szCs w:val="24"/>
          <w:highlight w:val="none"/>
        </w:rPr>
        <w:t>供应商名称（公章）：</w:t>
      </w:r>
      <w:r>
        <w:rPr>
          <w:rFonts w:ascii="宋体" w:hAnsi="宋体"/>
          <w:bCs/>
          <w:color w:val="auto"/>
          <w:sz w:val="24"/>
          <w:szCs w:val="24"/>
          <w:highlight w:val="none"/>
          <w:u w:val="single"/>
        </w:rPr>
        <w:t xml:space="preserve">                          </w:t>
      </w:r>
    </w:p>
    <w:p w14:paraId="6E6B5B0C">
      <w:pPr>
        <w:spacing w:before="100" w:beforeAutospacing="1" w:after="100" w:afterAutospacing="1"/>
        <w:ind w:firstLine="3316" w:firstLineChars="1382"/>
        <w:rPr>
          <w:rFonts w:hint="eastAsia" w:ascii="宋体" w:hAnsi="宋体"/>
          <w:color w:val="auto"/>
          <w:sz w:val="21"/>
          <w:szCs w:val="21"/>
          <w:highlight w:val="none"/>
        </w:rPr>
      </w:pPr>
      <w:r>
        <w:rPr>
          <w:rFonts w:hint="eastAsia" w:ascii="宋体" w:hAnsi="宋体"/>
          <w:bCs/>
          <w:color w:val="auto"/>
          <w:sz w:val="24"/>
          <w:szCs w:val="24"/>
          <w:highlight w:val="none"/>
          <w:lang w:val="zh-CN"/>
        </w:rPr>
        <w:t>日期</w:t>
      </w:r>
      <w:r>
        <w:rPr>
          <w:rFonts w:hint="eastAsia" w:ascii="宋体" w:hAnsi="宋体"/>
          <w:bCs/>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日</w:t>
      </w:r>
    </w:p>
    <w:p w14:paraId="0CFE2ADC">
      <w:pPr>
        <w:rPr>
          <w:rFonts w:hint="eastAsia" w:ascii="宋体" w:hAnsi="宋体" w:cs="宋体"/>
          <w:color w:val="auto"/>
          <w:sz w:val="24"/>
          <w:highlight w:val="none"/>
          <w:lang w:val="zh-CN"/>
        </w:rPr>
      </w:pPr>
      <w:r>
        <w:rPr>
          <w:rFonts w:hint="eastAsia" w:ascii="宋体" w:hAnsi="宋体" w:cs="宋体"/>
          <w:color w:val="auto"/>
          <w:sz w:val="24"/>
          <w:highlight w:val="none"/>
          <w:lang w:val="zh-CN"/>
        </w:rPr>
        <w:br w:type="page"/>
      </w:r>
    </w:p>
    <w:p w14:paraId="50736726">
      <w:pPr>
        <w:jc w:val="center"/>
        <w:outlineLvl w:val="0"/>
        <w:rPr>
          <w:rFonts w:hint="eastAsia" w:ascii="宋体" w:hAnsi="宋体" w:cs="宋体"/>
          <w:color w:val="auto"/>
          <w:sz w:val="24"/>
          <w:szCs w:val="24"/>
          <w:highlight w:val="none"/>
          <w:lang w:val="zh-CN"/>
        </w:rPr>
      </w:pPr>
      <w:bookmarkStart w:id="154" w:name="_Toc21496"/>
      <w:r>
        <w:rPr>
          <w:rFonts w:hint="eastAsia" w:ascii="宋体" w:hAnsi="宋体" w:cs="宋体"/>
          <w:color w:val="auto"/>
          <w:sz w:val="24"/>
          <w:szCs w:val="24"/>
          <w:highlight w:val="none"/>
          <w:lang w:val="zh-CN"/>
        </w:rPr>
        <w:t>符合性检查表</w:t>
      </w: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rPr>
        <w:t>一条不满足即废标</w:t>
      </w:r>
      <w:r>
        <w:rPr>
          <w:rFonts w:hint="eastAsia" w:ascii="宋体" w:hAnsi="宋体" w:cs="宋体"/>
          <w:b/>
          <w:bCs/>
          <w:color w:val="auto"/>
          <w:sz w:val="24"/>
          <w:szCs w:val="24"/>
          <w:highlight w:val="none"/>
          <w:lang w:val="zh-CN"/>
        </w:rPr>
        <w:t>）</w:t>
      </w:r>
      <w:bookmarkEnd w:id="150"/>
      <w:bookmarkEnd w:id="151"/>
      <w:bookmarkEnd w:id="152"/>
      <w:bookmarkEnd w:id="153"/>
      <w:bookmarkEnd w:id="154"/>
    </w:p>
    <w:p w14:paraId="18606727">
      <w:pPr>
        <w:jc w:val="center"/>
        <w:rPr>
          <w:rFonts w:hint="eastAsia" w:ascii="宋体" w:hAnsi="宋体"/>
          <w:b/>
          <w:color w:val="auto"/>
          <w:sz w:val="24"/>
          <w:szCs w:val="24"/>
          <w:highlight w:val="none"/>
        </w:rPr>
      </w:pPr>
      <w:r>
        <w:rPr>
          <w:rFonts w:hint="eastAsia" w:ascii="宋体" w:hAnsi="宋体"/>
          <w:b/>
          <w:color w:val="auto"/>
          <w:sz w:val="24"/>
          <w:szCs w:val="24"/>
          <w:highlight w:val="none"/>
        </w:rPr>
        <w:t>符合性审查对照表</w:t>
      </w:r>
    </w:p>
    <w:p w14:paraId="344E2220">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 xml:space="preserve"> </w:t>
      </w:r>
    </w:p>
    <w:p w14:paraId="4BF8357D">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宋体" w:hAnsi="宋体"/>
          <w:color w:val="auto"/>
          <w:sz w:val="24"/>
          <w:szCs w:val="24"/>
          <w:highlight w:val="none"/>
        </w:rPr>
      </w:pPr>
      <w:r>
        <w:rPr>
          <w:rFonts w:hint="eastAsia" w:ascii="宋体" w:hAnsi="宋体"/>
          <w:color w:val="auto"/>
          <w:sz w:val="24"/>
          <w:szCs w:val="24"/>
          <w:highlight w:val="none"/>
          <w:lang w:val="zh-CN"/>
        </w:rPr>
        <w:t>项目编号：</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 xml:space="preserve">     </w:t>
      </w:r>
      <w:r>
        <w:rPr>
          <w:rFonts w:hint="eastAsia" w:ascii="宋体" w:hAnsi="宋体"/>
          <w:bCs/>
          <w:color w:val="auto"/>
          <w:sz w:val="24"/>
          <w:szCs w:val="24"/>
          <w:highlight w:val="none"/>
          <w:lang w:val="zh-CN"/>
        </w:rPr>
        <w:t xml:space="preserve">                项目名称：</w:t>
      </w:r>
      <w:r>
        <w:rPr>
          <w:rFonts w:hint="eastAsia" w:ascii="宋体" w:hAnsi="宋体"/>
          <w:bCs/>
          <w:color w:val="auto"/>
          <w:sz w:val="24"/>
          <w:szCs w:val="24"/>
          <w:highlight w:val="none"/>
          <w:u w:val="single"/>
          <w:lang w:val="zh-CN"/>
        </w:rPr>
        <w:t xml:space="preserve">           </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3190"/>
        <w:gridCol w:w="1984"/>
      </w:tblGrid>
      <w:tr w14:paraId="3532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tcBorders>
              <w:top w:val="single" w:color="auto" w:sz="4" w:space="0"/>
              <w:left w:val="single" w:color="auto" w:sz="4" w:space="0"/>
              <w:bottom w:val="single" w:color="auto" w:sz="4" w:space="0"/>
              <w:right w:val="single" w:color="auto" w:sz="4" w:space="0"/>
            </w:tcBorders>
            <w:shd w:val="clear" w:color="auto" w:fill="F1F1F1"/>
            <w:vAlign w:val="center"/>
          </w:tcPr>
          <w:p w14:paraId="45E70294">
            <w:pPr>
              <w:widowControl w:val="0"/>
              <w:spacing w:after="0"/>
              <w:jc w:val="center"/>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序号</w:t>
            </w:r>
          </w:p>
        </w:tc>
        <w:tc>
          <w:tcPr>
            <w:tcW w:w="3032" w:type="dxa"/>
            <w:tcBorders>
              <w:top w:val="single" w:color="auto" w:sz="4" w:space="0"/>
              <w:left w:val="single" w:color="auto" w:sz="4" w:space="0"/>
              <w:bottom w:val="single" w:color="auto" w:sz="4" w:space="0"/>
              <w:right w:val="single" w:color="auto" w:sz="4" w:space="0"/>
            </w:tcBorders>
            <w:shd w:val="clear" w:color="auto" w:fill="F1F1F1"/>
            <w:vAlign w:val="center"/>
          </w:tcPr>
          <w:p w14:paraId="52D33CA2">
            <w:pPr>
              <w:widowControl w:val="0"/>
              <w:spacing w:after="0"/>
              <w:jc w:val="center"/>
              <w:rPr>
                <w:rFonts w:hint="eastAsia" w:ascii="宋体" w:hAnsi="宋体" w:cs="仿宋_GB2312"/>
                <w:color w:val="auto"/>
                <w:kern w:val="2"/>
                <w:sz w:val="24"/>
                <w:szCs w:val="24"/>
                <w:highlight w:val="none"/>
              </w:rPr>
            </w:pPr>
            <w:r>
              <w:rPr>
                <w:rFonts w:hint="eastAsia" w:ascii="宋体" w:hAnsi="宋体" w:cs="Corbel"/>
                <w:color w:val="auto"/>
                <w:kern w:val="2"/>
                <w:sz w:val="24"/>
                <w:szCs w:val="24"/>
                <w:highlight w:val="none"/>
              </w:rPr>
              <w:t>符合性审查条款</w:t>
            </w:r>
          </w:p>
        </w:tc>
        <w:tc>
          <w:tcPr>
            <w:tcW w:w="3190" w:type="dxa"/>
            <w:tcBorders>
              <w:top w:val="single" w:color="auto" w:sz="4" w:space="0"/>
              <w:left w:val="single" w:color="auto" w:sz="4" w:space="0"/>
              <w:bottom w:val="single" w:color="auto" w:sz="4" w:space="0"/>
              <w:right w:val="single" w:color="auto" w:sz="4" w:space="0"/>
            </w:tcBorders>
            <w:shd w:val="clear" w:color="auto" w:fill="F1F1F1"/>
            <w:vAlign w:val="center"/>
          </w:tcPr>
          <w:p w14:paraId="691B51FE">
            <w:pPr>
              <w:widowControl w:val="0"/>
              <w:spacing w:after="0"/>
              <w:jc w:val="center"/>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响应情况</w:t>
            </w:r>
          </w:p>
        </w:tc>
        <w:tc>
          <w:tcPr>
            <w:tcW w:w="1984" w:type="dxa"/>
            <w:tcBorders>
              <w:top w:val="single" w:color="auto" w:sz="4" w:space="0"/>
              <w:left w:val="single" w:color="auto" w:sz="4" w:space="0"/>
              <w:bottom w:val="single" w:color="auto" w:sz="4" w:space="0"/>
              <w:right w:val="single" w:color="auto" w:sz="4" w:space="0"/>
            </w:tcBorders>
            <w:shd w:val="clear" w:color="auto" w:fill="F1F1F1"/>
            <w:vAlign w:val="center"/>
          </w:tcPr>
          <w:p w14:paraId="05A049CD">
            <w:pPr>
              <w:widowControl w:val="0"/>
              <w:spacing w:after="0"/>
              <w:jc w:val="center"/>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偏离说明</w:t>
            </w:r>
          </w:p>
        </w:tc>
      </w:tr>
      <w:tr w14:paraId="1D4F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tcBorders>
              <w:top w:val="single" w:color="auto" w:sz="4" w:space="0"/>
              <w:left w:val="single" w:color="auto" w:sz="4" w:space="0"/>
              <w:bottom w:val="single" w:color="auto" w:sz="4" w:space="0"/>
              <w:right w:val="single" w:color="auto" w:sz="4" w:space="0"/>
            </w:tcBorders>
            <w:vAlign w:val="center"/>
          </w:tcPr>
          <w:p w14:paraId="0305DF63">
            <w:pPr>
              <w:widowControl w:val="0"/>
              <w:spacing w:after="0"/>
              <w:jc w:val="center"/>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1</w:t>
            </w:r>
          </w:p>
        </w:tc>
        <w:tc>
          <w:tcPr>
            <w:tcW w:w="3032" w:type="dxa"/>
            <w:tcBorders>
              <w:top w:val="single" w:color="auto" w:sz="4" w:space="0"/>
              <w:left w:val="single" w:color="auto" w:sz="4" w:space="0"/>
              <w:bottom w:val="single" w:color="auto" w:sz="4" w:space="0"/>
              <w:right w:val="single" w:color="auto" w:sz="4" w:space="0"/>
            </w:tcBorders>
            <w:vAlign w:val="center"/>
          </w:tcPr>
          <w:p w14:paraId="543EF93D">
            <w:pPr>
              <w:widowControl w:val="0"/>
              <w:spacing w:after="0"/>
              <w:jc w:val="center"/>
              <w:rPr>
                <w:rFonts w:hint="eastAsia" w:ascii="宋体" w:hAnsi="宋体" w:cs="仿宋_GB2312"/>
                <w:color w:val="auto"/>
                <w:kern w:val="2"/>
                <w:sz w:val="24"/>
                <w:szCs w:val="24"/>
                <w:highlight w:val="none"/>
              </w:rPr>
            </w:pPr>
          </w:p>
        </w:tc>
        <w:tc>
          <w:tcPr>
            <w:tcW w:w="3190" w:type="dxa"/>
            <w:tcBorders>
              <w:top w:val="single" w:color="auto" w:sz="4" w:space="0"/>
              <w:left w:val="single" w:color="auto" w:sz="4" w:space="0"/>
              <w:bottom w:val="single" w:color="auto" w:sz="4" w:space="0"/>
              <w:right w:val="single" w:color="auto" w:sz="4" w:space="0"/>
            </w:tcBorders>
            <w:vAlign w:val="center"/>
          </w:tcPr>
          <w:p w14:paraId="33493265">
            <w:pPr>
              <w:widowControl w:val="0"/>
              <w:spacing w:after="0"/>
              <w:jc w:val="center"/>
              <w:rPr>
                <w:rFonts w:hint="eastAsia" w:ascii="宋体" w:hAnsi="宋体" w:cs="仿宋_GB2312"/>
                <w:color w:val="auto"/>
                <w:kern w:val="2"/>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6DBD823E">
            <w:pPr>
              <w:widowControl w:val="0"/>
              <w:spacing w:after="0"/>
              <w:jc w:val="center"/>
              <w:rPr>
                <w:rFonts w:hint="eastAsia" w:ascii="宋体" w:hAnsi="宋体" w:cs="仿宋_GB2312"/>
                <w:color w:val="auto"/>
                <w:kern w:val="2"/>
                <w:sz w:val="24"/>
                <w:szCs w:val="24"/>
                <w:highlight w:val="none"/>
              </w:rPr>
            </w:pPr>
          </w:p>
        </w:tc>
      </w:tr>
      <w:tr w14:paraId="5D1B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tcBorders>
              <w:top w:val="single" w:color="auto" w:sz="4" w:space="0"/>
              <w:left w:val="single" w:color="auto" w:sz="4" w:space="0"/>
              <w:bottom w:val="single" w:color="auto" w:sz="4" w:space="0"/>
              <w:right w:val="single" w:color="auto" w:sz="4" w:space="0"/>
            </w:tcBorders>
            <w:vAlign w:val="center"/>
          </w:tcPr>
          <w:p w14:paraId="6D5D7325">
            <w:pPr>
              <w:widowControl w:val="0"/>
              <w:spacing w:after="0"/>
              <w:jc w:val="center"/>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2</w:t>
            </w:r>
          </w:p>
        </w:tc>
        <w:tc>
          <w:tcPr>
            <w:tcW w:w="3032" w:type="dxa"/>
            <w:tcBorders>
              <w:top w:val="single" w:color="auto" w:sz="4" w:space="0"/>
              <w:left w:val="single" w:color="auto" w:sz="4" w:space="0"/>
              <w:bottom w:val="single" w:color="auto" w:sz="4" w:space="0"/>
              <w:right w:val="single" w:color="auto" w:sz="4" w:space="0"/>
            </w:tcBorders>
            <w:vAlign w:val="center"/>
          </w:tcPr>
          <w:p w14:paraId="17CC93CC">
            <w:pPr>
              <w:widowControl w:val="0"/>
              <w:spacing w:after="0"/>
              <w:jc w:val="center"/>
              <w:rPr>
                <w:rFonts w:hint="eastAsia" w:ascii="宋体" w:hAnsi="宋体" w:cs="仿宋_GB2312"/>
                <w:color w:val="auto"/>
                <w:kern w:val="2"/>
                <w:sz w:val="24"/>
                <w:szCs w:val="24"/>
                <w:highlight w:val="none"/>
              </w:rPr>
            </w:pPr>
          </w:p>
        </w:tc>
        <w:tc>
          <w:tcPr>
            <w:tcW w:w="3190" w:type="dxa"/>
            <w:tcBorders>
              <w:top w:val="single" w:color="auto" w:sz="4" w:space="0"/>
              <w:left w:val="single" w:color="auto" w:sz="4" w:space="0"/>
              <w:bottom w:val="single" w:color="auto" w:sz="4" w:space="0"/>
              <w:right w:val="single" w:color="auto" w:sz="4" w:space="0"/>
            </w:tcBorders>
            <w:vAlign w:val="center"/>
          </w:tcPr>
          <w:p w14:paraId="7D7A47EC">
            <w:pPr>
              <w:widowControl w:val="0"/>
              <w:spacing w:after="0"/>
              <w:jc w:val="center"/>
              <w:rPr>
                <w:rFonts w:hint="eastAsia" w:ascii="宋体" w:hAnsi="宋体" w:cs="仿宋_GB2312"/>
                <w:color w:val="auto"/>
                <w:kern w:val="2"/>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760E2558">
            <w:pPr>
              <w:widowControl w:val="0"/>
              <w:spacing w:after="0"/>
              <w:jc w:val="center"/>
              <w:rPr>
                <w:rFonts w:hint="eastAsia" w:ascii="宋体" w:hAnsi="宋体" w:cs="仿宋_GB2312"/>
                <w:color w:val="auto"/>
                <w:kern w:val="2"/>
                <w:sz w:val="24"/>
                <w:szCs w:val="24"/>
                <w:highlight w:val="none"/>
              </w:rPr>
            </w:pPr>
          </w:p>
        </w:tc>
      </w:tr>
      <w:tr w14:paraId="15A7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tcBorders>
              <w:top w:val="single" w:color="auto" w:sz="4" w:space="0"/>
              <w:left w:val="single" w:color="auto" w:sz="4" w:space="0"/>
              <w:bottom w:val="single" w:color="auto" w:sz="4" w:space="0"/>
              <w:right w:val="single" w:color="auto" w:sz="4" w:space="0"/>
            </w:tcBorders>
            <w:vAlign w:val="center"/>
          </w:tcPr>
          <w:p w14:paraId="47AD49DC">
            <w:pPr>
              <w:widowControl w:val="0"/>
              <w:spacing w:after="0"/>
              <w:jc w:val="center"/>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3</w:t>
            </w:r>
          </w:p>
        </w:tc>
        <w:tc>
          <w:tcPr>
            <w:tcW w:w="3032" w:type="dxa"/>
            <w:tcBorders>
              <w:top w:val="single" w:color="auto" w:sz="4" w:space="0"/>
              <w:left w:val="single" w:color="auto" w:sz="4" w:space="0"/>
              <w:bottom w:val="single" w:color="auto" w:sz="4" w:space="0"/>
              <w:right w:val="single" w:color="auto" w:sz="4" w:space="0"/>
            </w:tcBorders>
            <w:vAlign w:val="center"/>
          </w:tcPr>
          <w:p w14:paraId="269B5250">
            <w:pPr>
              <w:widowControl w:val="0"/>
              <w:spacing w:after="0"/>
              <w:jc w:val="center"/>
              <w:rPr>
                <w:rFonts w:hint="eastAsia" w:ascii="宋体" w:hAnsi="宋体" w:cs="仿宋_GB2312"/>
                <w:color w:val="auto"/>
                <w:kern w:val="2"/>
                <w:sz w:val="24"/>
                <w:szCs w:val="24"/>
                <w:highlight w:val="none"/>
              </w:rPr>
            </w:pPr>
          </w:p>
        </w:tc>
        <w:tc>
          <w:tcPr>
            <w:tcW w:w="3190" w:type="dxa"/>
            <w:tcBorders>
              <w:top w:val="single" w:color="auto" w:sz="4" w:space="0"/>
              <w:left w:val="single" w:color="auto" w:sz="4" w:space="0"/>
              <w:bottom w:val="single" w:color="auto" w:sz="4" w:space="0"/>
              <w:right w:val="single" w:color="auto" w:sz="4" w:space="0"/>
            </w:tcBorders>
            <w:vAlign w:val="center"/>
          </w:tcPr>
          <w:p w14:paraId="46E49B61">
            <w:pPr>
              <w:widowControl w:val="0"/>
              <w:spacing w:after="0"/>
              <w:jc w:val="center"/>
              <w:rPr>
                <w:rFonts w:hint="eastAsia" w:ascii="宋体" w:hAnsi="宋体" w:cs="仿宋_GB2312"/>
                <w:color w:val="auto"/>
                <w:kern w:val="2"/>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57475514">
            <w:pPr>
              <w:widowControl w:val="0"/>
              <w:spacing w:after="0"/>
              <w:jc w:val="center"/>
              <w:rPr>
                <w:rFonts w:hint="eastAsia" w:ascii="宋体" w:hAnsi="宋体" w:cs="仿宋_GB2312"/>
                <w:color w:val="auto"/>
                <w:kern w:val="2"/>
                <w:sz w:val="24"/>
                <w:szCs w:val="24"/>
                <w:highlight w:val="none"/>
              </w:rPr>
            </w:pPr>
          </w:p>
        </w:tc>
      </w:tr>
      <w:tr w14:paraId="770B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tcBorders>
              <w:top w:val="single" w:color="auto" w:sz="4" w:space="0"/>
              <w:left w:val="single" w:color="auto" w:sz="4" w:space="0"/>
              <w:bottom w:val="single" w:color="auto" w:sz="4" w:space="0"/>
              <w:right w:val="single" w:color="auto" w:sz="4" w:space="0"/>
            </w:tcBorders>
            <w:vAlign w:val="center"/>
          </w:tcPr>
          <w:p w14:paraId="07498C6D">
            <w:pPr>
              <w:widowControl w:val="0"/>
              <w:spacing w:after="0"/>
              <w:jc w:val="center"/>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4</w:t>
            </w:r>
          </w:p>
        </w:tc>
        <w:tc>
          <w:tcPr>
            <w:tcW w:w="3032" w:type="dxa"/>
            <w:tcBorders>
              <w:top w:val="single" w:color="auto" w:sz="4" w:space="0"/>
              <w:left w:val="single" w:color="auto" w:sz="4" w:space="0"/>
              <w:bottom w:val="single" w:color="auto" w:sz="4" w:space="0"/>
              <w:right w:val="single" w:color="auto" w:sz="4" w:space="0"/>
            </w:tcBorders>
            <w:vAlign w:val="center"/>
          </w:tcPr>
          <w:p w14:paraId="1D894007">
            <w:pPr>
              <w:widowControl w:val="0"/>
              <w:spacing w:after="0"/>
              <w:jc w:val="center"/>
              <w:rPr>
                <w:rFonts w:hint="eastAsia" w:ascii="宋体" w:hAnsi="宋体" w:cs="仿宋_GB2312"/>
                <w:color w:val="auto"/>
                <w:kern w:val="2"/>
                <w:sz w:val="24"/>
                <w:szCs w:val="24"/>
                <w:highlight w:val="none"/>
              </w:rPr>
            </w:pPr>
          </w:p>
        </w:tc>
        <w:tc>
          <w:tcPr>
            <w:tcW w:w="3190" w:type="dxa"/>
            <w:tcBorders>
              <w:top w:val="single" w:color="auto" w:sz="4" w:space="0"/>
              <w:left w:val="single" w:color="auto" w:sz="4" w:space="0"/>
              <w:bottom w:val="single" w:color="auto" w:sz="4" w:space="0"/>
              <w:right w:val="single" w:color="auto" w:sz="4" w:space="0"/>
            </w:tcBorders>
            <w:vAlign w:val="center"/>
          </w:tcPr>
          <w:p w14:paraId="73391AC9">
            <w:pPr>
              <w:widowControl w:val="0"/>
              <w:spacing w:after="0"/>
              <w:jc w:val="center"/>
              <w:rPr>
                <w:rFonts w:hint="eastAsia" w:ascii="宋体" w:hAnsi="宋体" w:cs="仿宋_GB2312"/>
                <w:color w:val="auto"/>
                <w:kern w:val="2"/>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0FB7B7D6">
            <w:pPr>
              <w:widowControl w:val="0"/>
              <w:spacing w:after="0"/>
              <w:jc w:val="center"/>
              <w:rPr>
                <w:rFonts w:hint="eastAsia" w:ascii="宋体" w:hAnsi="宋体" w:cs="仿宋_GB2312"/>
                <w:color w:val="auto"/>
                <w:kern w:val="2"/>
                <w:sz w:val="24"/>
                <w:szCs w:val="24"/>
                <w:highlight w:val="none"/>
              </w:rPr>
            </w:pPr>
          </w:p>
        </w:tc>
      </w:tr>
      <w:tr w14:paraId="3F04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tcBorders>
              <w:top w:val="single" w:color="auto" w:sz="4" w:space="0"/>
              <w:left w:val="single" w:color="auto" w:sz="4" w:space="0"/>
              <w:bottom w:val="single" w:color="auto" w:sz="4" w:space="0"/>
              <w:right w:val="single" w:color="auto" w:sz="4" w:space="0"/>
            </w:tcBorders>
            <w:vAlign w:val="center"/>
          </w:tcPr>
          <w:p w14:paraId="26DAAC32">
            <w:pPr>
              <w:widowControl w:val="0"/>
              <w:spacing w:after="0"/>
              <w:jc w:val="center"/>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5</w:t>
            </w:r>
          </w:p>
        </w:tc>
        <w:tc>
          <w:tcPr>
            <w:tcW w:w="3032" w:type="dxa"/>
            <w:tcBorders>
              <w:top w:val="single" w:color="auto" w:sz="4" w:space="0"/>
              <w:left w:val="single" w:color="auto" w:sz="4" w:space="0"/>
              <w:bottom w:val="single" w:color="auto" w:sz="4" w:space="0"/>
              <w:right w:val="single" w:color="auto" w:sz="4" w:space="0"/>
            </w:tcBorders>
            <w:vAlign w:val="center"/>
          </w:tcPr>
          <w:p w14:paraId="5F027B53">
            <w:pPr>
              <w:widowControl w:val="0"/>
              <w:spacing w:after="0"/>
              <w:jc w:val="center"/>
              <w:rPr>
                <w:rFonts w:hint="eastAsia" w:ascii="宋体" w:hAnsi="宋体" w:cs="仿宋_GB2312"/>
                <w:color w:val="auto"/>
                <w:kern w:val="2"/>
                <w:sz w:val="24"/>
                <w:szCs w:val="24"/>
                <w:highlight w:val="none"/>
              </w:rPr>
            </w:pPr>
          </w:p>
        </w:tc>
        <w:tc>
          <w:tcPr>
            <w:tcW w:w="3190" w:type="dxa"/>
            <w:tcBorders>
              <w:top w:val="single" w:color="auto" w:sz="4" w:space="0"/>
              <w:left w:val="single" w:color="auto" w:sz="4" w:space="0"/>
              <w:bottom w:val="single" w:color="auto" w:sz="4" w:space="0"/>
              <w:right w:val="single" w:color="auto" w:sz="4" w:space="0"/>
            </w:tcBorders>
            <w:vAlign w:val="center"/>
          </w:tcPr>
          <w:p w14:paraId="444AE858">
            <w:pPr>
              <w:widowControl w:val="0"/>
              <w:spacing w:after="0"/>
              <w:jc w:val="center"/>
              <w:rPr>
                <w:rFonts w:hint="eastAsia" w:ascii="宋体" w:hAnsi="宋体" w:cs="仿宋_GB2312"/>
                <w:color w:val="auto"/>
                <w:kern w:val="2"/>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4828BB20">
            <w:pPr>
              <w:widowControl w:val="0"/>
              <w:spacing w:after="0"/>
              <w:jc w:val="center"/>
              <w:rPr>
                <w:rFonts w:hint="eastAsia" w:ascii="宋体" w:hAnsi="宋体" w:cs="仿宋_GB2312"/>
                <w:color w:val="auto"/>
                <w:kern w:val="2"/>
                <w:sz w:val="24"/>
                <w:szCs w:val="24"/>
                <w:highlight w:val="none"/>
              </w:rPr>
            </w:pPr>
          </w:p>
        </w:tc>
      </w:tr>
      <w:tr w14:paraId="5969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tcBorders>
              <w:top w:val="single" w:color="auto" w:sz="4" w:space="0"/>
              <w:left w:val="single" w:color="auto" w:sz="4" w:space="0"/>
              <w:bottom w:val="single" w:color="auto" w:sz="4" w:space="0"/>
              <w:right w:val="single" w:color="auto" w:sz="4" w:space="0"/>
            </w:tcBorders>
            <w:vAlign w:val="center"/>
          </w:tcPr>
          <w:p w14:paraId="188401B7">
            <w:pPr>
              <w:widowControl w:val="0"/>
              <w:spacing w:after="0"/>
              <w:jc w:val="center"/>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6</w:t>
            </w:r>
          </w:p>
        </w:tc>
        <w:tc>
          <w:tcPr>
            <w:tcW w:w="3032" w:type="dxa"/>
            <w:tcBorders>
              <w:top w:val="single" w:color="auto" w:sz="4" w:space="0"/>
              <w:left w:val="single" w:color="auto" w:sz="4" w:space="0"/>
              <w:bottom w:val="single" w:color="auto" w:sz="4" w:space="0"/>
              <w:right w:val="single" w:color="auto" w:sz="4" w:space="0"/>
            </w:tcBorders>
            <w:vAlign w:val="center"/>
          </w:tcPr>
          <w:p w14:paraId="4776D1D5">
            <w:pPr>
              <w:widowControl w:val="0"/>
              <w:spacing w:after="0"/>
              <w:jc w:val="center"/>
              <w:rPr>
                <w:rFonts w:hint="eastAsia" w:ascii="宋体" w:hAnsi="宋体" w:cs="仿宋_GB2312"/>
                <w:color w:val="auto"/>
                <w:kern w:val="2"/>
                <w:sz w:val="24"/>
                <w:szCs w:val="24"/>
                <w:highlight w:val="none"/>
              </w:rPr>
            </w:pPr>
          </w:p>
        </w:tc>
        <w:tc>
          <w:tcPr>
            <w:tcW w:w="3190" w:type="dxa"/>
            <w:tcBorders>
              <w:top w:val="single" w:color="auto" w:sz="4" w:space="0"/>
              <w:left w:val="single" w:color="auto" w:sz="4" w:space="0"/>
              <w:bottom w:val="single" w:color="auto" w:sz="4" w:space="0"/>
              <w:right w:val="single" w:color="auto" w:sz="4" w:space="0"/>
            </w:tcBorders>
            <w:vAlign w:val="center"/>
          </w:tcPr>
          <w:p w14:paraId="263C24C4">
            <w:pPr>
              <w:widowControl w:val="0"/>
              <w:spacing w:after="0"/>
              <w:jc w:val="center"/>
              <w:rPr>
                <w:rFonts w:hint="eastAsia" w:ascii="宋体" w:hAnsi="宋体" w:cs="仿宋_GB2312"/>
                <w:color w:val="auto"/>
                <w:kern w:val="2"/>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7E96B24A">
            <w:pPr>
              <w:widowControl w:val="0"/>
              <w:spacing w:after="0"/>
              <w:jc w:val="center"/>
              <w:rPr>
                <w:rFonts w:hint="eastAsia" w:ascii="宋体" w:hAnsi="宋体" w:cs="仿宋_GB2312"/>
                <w:color w:val="auto"/>
                <w:kern w:val="2"/>
                <w:sz w:val="24"/>
                <w:szCs w:val="24"/>
                <w:highlight w:val="none"/>
              </w:rPr>
            </w:pPr>
          </w:p>
        </w:tc>
      </w:tr>
      <w:tr w14:paraId="5485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tcBorders>
              <w:top w:val="single" w:color="auto" w:sz="4" w:space="0"/>
              <w:left w:val="single" w:color="auto" w:sz="4" w:space="0"/>
              <w:bottom w:val="single" w:color="auto" w:sz="4" w:space="0"/>
              <w:right w:val="single" w:color="auto" w:sz="4" w:space="0"/>
            </w:tcBorders>
            <w:vAlign w:val="center"/>
          </w:tcPr>
          <w:p w14:paraId="6E9412AE">
            <w:pPr>
              <w:widowControl w:val="0"/>
              <w:spacing w:after="0"/>
              <w:jc w:val="center"/>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w:t>
            </w:r>
          </w:p>
        </w:tc>
        <w:tc>
          <w:tcPr>
            <w:tcW w:w="3032" w:type="dxa"/>
            <w:tcBorders>
              <w:top w:val="single" w:color="auto" w:sz="4" w:space="0"/>
              <w:left w:val="single" w:color="auto" w:sz="4" w:space="0"/>
              <w:bottom w:val="single" w:color="auto" w:sz="4" w:space="0"/>
              <w:right w:val="single" w:color="auto" w:sz="4" w:space="0"/>
            </w:tcBorders>
            <w:vAlign w:val="center"/>
          </w:tcPr>
          <w:p w14:paraId="076B9BB5">
            <w:pPr>
              <w:widowControl w:val="0"/>
              <w:spacing w:after="0"/>
              <w:jc w:val="center"/>
              <w:rPr>
                <w:rFonts w:hint="eastAsia" w:ascii="宋体" w:hAnsi="宋体" w:cs="仿宋_GB2312"/>
                <w:color w:val="auto"/>
                <w:kern w:val="2"/>
                <w:sz w:val="24"/>
                <w:szCs w:val="24"/>
                <w:highlight w:val="none"/>
              </w:rPr>
            </w:pPr>
          </w:p>
        </w:tc>
        <w:tc>
          <w:tcPr>
            <w:tcW w:w="3190" w:type="dxa"/>
            <w:tcBorders>
              <w:top w:val="single" w:color="auto" w:sz="4" w:space="0"/>
              <w:left w:val="single" w:color="auto" w:sz="4" w:space="0"/>
              <w:bottom w:val="single" w:color="auto" w:sz="4" w:space="0"/>
              <w:right w:val="single" w:color="auto" w:sz="4" w:space="0"/>
            </w:tcBorders>
            <w:vAlign w:val="center"/>
          </w:tcPr>
          <w:p w14:paraId="54C692AF">
            <w:pPr>
              <w:widowControl w:val="0"/>
              <w:spacing w:after="0"/>
              <w:jc w:val="center"/>
              <w:rPr>
                <w:rFonts w:hint="eastAsia" w:ascii="宋体" w:hAnsi="宋体" w:cs="仿宋_GB2312"/>
                <w:color w:val="auto"/>
                <w:kern w:val="2"/>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2525C4CC">
            <w:pPr>
              <w:widowControl w:val="0"/>
              <w:spacing w:after="0"/>
              <w:jc w:val="center"/>
              <w:rPr>
                <w:rFonts w:hint="eastAsia" w:ascii="宋体" w:hAnsi="宋体" w:cs="仿宋_GB2312"/>
                <w:color w:val="auto"/>
                <w:kern w:val="2"/>
                <w:sz w:val="24"/>
                <w:szCs w:val="24"/>
                <w:highlight w:val="none"/>
              </w:rPr>
            </w:pPr>
          </w:p>
        </w:tc>
      </w:tr>
    </w:tbl>
    <w:p w14:paraId="5EE8B7FD">
      <w:pPr>
        <w:ind w:left="989" w:leftChars="-47" w:hanging="1092" w:hangingChars="455"/>
        <w:rPr>
          <w:rFonts w:hint="eastAsia" w:ascii="宋体" w:hAnsi="宋体"/>
          <w:color w:val="auto"/>
          <w:sz w:val="24"/>
          <w:szCs w:val="24"/>
          <w:highlight w:val="none"/>
        </w:rPr>
      </w:pPr>
      <w:r>
        <w:rPr>
          <w:rFonts w:hint="eastAsia" w:ascii="宋体" w:hAnsi="宋体"/>
          <w:color w:val="auto"/>
          <w:sz w:val="24"/>
          <w:szCs w:val="24"/>
          <w:highlight w:val="none"/>
        </w:rPr>
        <w:t>说明</w:t>
      </w:r>
      <w:r>
        <w:rPr>
          <w:rFonts w:hint="eastAsia" w:ascii="宋体" w:hAnsi="宋体" w:cs="Corbel"/>
          <w:color w:val="auto"/>
          <w:sz w:val="24"/>
          <w:szCs w:val="24"/>
          <w:highlight w:val="none"/>
        </w:rPr>
        <w:t>：1．供应商应对照采购文件第四章中《符合性审查表》的条款逐项说明是否满足要求，如有偏离,供应商应详细说明。未按照要求详细完整填写此表或仅注明“符合”、“满足”的，</w:t>
      </w:r>
      <w:r>
        <w:rPr>
          <w:rFonts w:hint="eastAsia" w:ascii="宋体" w:hAnsi="宋体"/>
          <w:color w:val="auto"/>
          <w:sz w:val="24"/>
          <w:szCs w:val="24"/>
          <w:highlight w:val="none"/>
        </w:rPr>
        <w:t>导致的后果由供应商自行承担。</w:t>
      </w:r>
    </w:p>
    <w:p w14:paraId="55922A99">
      <w:pPr>
        <w:ind w:left="928" w:leftChars="253" w:hanging="372" w:hangingChars="155"/>
        <w:rPr>
          <w:rFonts w:hint="eastAsia" w:ascii="宋体" w:hAnsi="宋体"/>
          <w:color w:val="auto"/>
          <w:sz w:val="24"/>
          <w:szCs w:val="24"/>
          <w:highlight w:val="none"/>
        </w:rPr>
      </w:pPr>
      <w:r>
        <w:rPr>
          <w:rFonts w:hint="eastAsia" w:ascii="宋体" w:hAnsi="宋体"/>
          <w:bCs/>
          <w:color w:val="auto"/>
          <w:sz w:val="24"/>
          <w:szCs w:val="24"/>
          <w:highlight w:val="none"/>
        </w:rPr>
        <w:t>2.供应商应将评审条款</w:t>
      </w:r>
      <w:r>
        <w:rPr>
          <w:rFonts w:ascii="宋体" w:hAnsi="宋体"/>
          <w:bCs/>
          <w:color w:val="auto"/>
          <w:sz w:val="24"/>
          <w:szCs w:val="24"/>
          <w:highlight w:val="none"/>
        </w:rPr>
        <w:t>与</w:t>
      </w:r>
      <w:r>
        <w:rPr>
          <w:rFonts w:hint="eastAsia" w:ascii="宋体" w:hAnsi="宋体"/>
          <w:bCs/>
          <w:color w:val="auto"/>
          <w:sz w:val="24"/>
          <w:szCs w:val="24"/>
          <w:highlight w:val="none"/>
        </w:rPr>
        <w:t>响应</w:t>
      </w:r>
      <w:r>
        <w:rPr>
          <w:rFonts w:ascii="宋体" w:hAnsi="宋体"/>
          <w:bCs/>
          <w:color w:val="auto"/>
          <w:sz w:val="24"/>
          <w:szCs w:val="24"/>
          <w:highlight w:val="none"/>
        </w:rPr>
        <w:t>文件</w:t>
      </w:r>
      <w:r>
        <w:rPr>
          <w:rFonts w:hint="eastAsia" w:ascii="宋体" w:hAnsi="宋体"/>
          <w:bCs/>
          <w:color w:val="auto"/>
          <w:sz w:val="24"/>
          <w:szCs w:val="24"/>
          <w:highlight w:val="none"/>
        </w:rPr>
        <w:t>中相关</w:t>
      </w:r>
      <w:r>
        <w:rPr>
          <w:rFonts w:ascii="宋体" w:hAnsi="宋体"/>
          <w:bCs/>
          <w:color w:val="auto"/>
          <w:sz w:val="24"/>
          <w:szCs w:val="24"/>
          <w:highlight w:val="none"/>
        </w:rPr>
        <w:t>证明材料建立对应关系</w:t>
      </w:r>
      <w:r>
        <w:rPr>
          <w:rFonts w:hint="eastAsia" w:ascii="宋体" w:hAnsi="宋体"/>
          <w:bCs/>
          <w:color w:val="auto"/>
          <w:sz w:val="24"/>
          <w:szCs w:val="24"/>
          <w:highlight w:val="none"/>
        </w:rPr>
        <w:t>。</w:t>
      </w:r>
    </w:p>
    <w:p w14:paraId="583DB256">
      <w:pPr>
        <w:adjustRightInd w:val="0"/>
        <w:snapToGrid w:val="0"/>
        <w:ind w:left="807" w:leftChars="258" w:hanging="240" w:hangingChars="100"/>
        <w:rPr>
          <w:rFonts w:hint="eastAsia" w:ascii="宋体" w:hAnsi="宋体" w:cs="Corbel"/>
          <w:color w:val="auto"/>
          <w:sz w:val="24"/>
          <w:szCs w:val="24"/>
          <w:highlight w:val="none"/>
        </w:rPr>
      </w:pPr>
    </w:p>
    <w:p w14:paraId="2244F787">
      <w:pPr>
        <w:spacing w:before="100" w:beforeAutospacing="1" w:after="100" w:afterAutospacing="1"/>
        <w:ind w:firstLine="3316" w:firstLineChars="1382"/>
        <w:rPr>
          <w:rFonts w:hint="eastAsia" w:ascii="宋体" w:hAnsi="宋体"/>
          <w:bCs/>
          <w:color w:val="auto"/>
          <w:sz w:val="24"/>
          <w:szCs w:val="24"/>
          <w:highlight w:val="none"/>
          <w:u w:val="single"/>
        </w:rPr>
      </w:pPr>
      <w:r>
        <w:rPr>
          <w:rFonts w:hint="eastAsia" w:ascii="宋体" w:hAnsi="宋体"/>
          <w:bCs/>
          <w:color w:val="auto"/>
          <w:sz w:val="24"/>
          <w:szCs w:val="24"/>
          <w:highlight w:val="none"/>
        </w:rPr>
        <w:t>供应商名称（公章）：</w:t>
      </w:r>
      <w:r>
        <w:rPr>
          <w:rFonts w:ascii="宋体" w:hAnsi="宋体"/>
          <w:bCs/>
          <w:color w:val="auto"/>
          <w:sz w:val="24"/>
          <w:szCs w:val="24"/>
          <w:highlight w:val="none"/>
          <w:u w:val="single"/>
        </w:rPr>
        <w:t xml:space="preserve">                          </w:t>
      </w:r>
    </w:p>
    <w:p w14:paraId="0DB64560">
      <w:pPr>
        <w:spacing w:before="100" w:beforeAutospacing="1" w:after="100" w:afterAutospacing="1"/>
        <w:ind w:firstLine="3316" w:firstLineChars="1382"/>
        <w:rPr>
          <w:rFonts w:hint="eastAsia" w:ascii="宋体" w:hAnsi="宋体"/>
          <w:color w:val="auto"/>
          <w:sz w:val="24"/>
          <w:szCs w:val="24"/>
          <w:highlight w:val="none"/>
        </w:rPr>
      </w:pPr>
      <w:r>
        <w:rPr>
          <w:rFonts w:hint="eastAsia" w:ascii="宋体" w:hAnsi="宋体"/>
          <w:bCs/>
          <w:color w:val="auto"/>
          <w:sz w:val="24"/>
          <w:szCs w:val="24"/>
          <w:highlight w:val="none"/>
          <w:lang w:val="zh-CN"/>
        </w:rPr>
        <w:t>日期</w:t>
      </w:r>
      <w:r>
        <w:rPr>
          <w:rFonts w:hint="eastAsia" w:ascii="宋体" w:hAnsi="宋体"/>
          <w:bCs/>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日</w:t>
      </w:r>
    </w:p>
    <w:p w14:paraId="0A72B8ED">
      <w:pPr>
        <w:rPr>
          <w:color w:val="auto"/>
          <w:sz w:val="24"/>
          <w:szCs w:val="24"/>
          <w:highlight w:val="none"/>
        </w:rPr>
      </w:pPr>
    </w:p>
    <w:p w14:paraId="577818C2">
      <w:pPr>
        <w:rPr>
          <w:color w:val="auto"/>
          <w:sz w:val="24"/>
          <w:szCs w:val="24"/>
          <w:highlight w:val="none"/>
          <w:lang w:val="zh-CN"/>
        </w:rPr>
      </w:pPr>
    </w:p>
    <w:p w14:paraId="77B249FD">
      <w:pPr>
        <w:rPr>
          <w:color w:val="auto"/>
          <w:sz w:val="24"/>
          <w:szCs w:val="24"/>
          <w:highlight w:val="none"/>
          <w:lang w:val="zh-CN"/>
        </w:rPr>
      </w:pPr>
    </w:p>
    <w:p w14:paraId="5ABF2391">
      <w:pPr>
        <w:rPr>
          <w:color w:val="auto"/>
          <w:sz w:val="24"/>
          <w:szCs w:val="24"/>
          <w:highlight w:val="none"/>
          <w:lang w:val="zh-CN"/>
        </w:rPr>
      </w:pPr>
    </w:p>
    <w:p w14:paraId="7C3C02DF">
      <w:pPr>
        <w:rPr>
          <w:color w:val="auto"/>
          <w:sz w:val="24"/>
          <w:szCs w:val="24"/>
          <w:highlight w:val="none"/>
          <w:lang w:val="zh-CN"/>
        </w:rPr>
      </w:pPr>
    </w:p>
    <w:p w14:paraId="0D765ABF">
      <w:pPr>
        <w:rPr>
          <w:color w:val="auto"/>
          <w:sz w:val="24"/>
          <w:szCs w:val="24"/>
          <w:highlight w:val="none"/>
          <w:lang w:val="zh-CN"/>
        </w:rPr>
      </w:pPr>
      <w:r>
        <w:rPr>
          <w:rFonts w:hint="eastAsia"/>
          <w:color w:val="auto"/>
          <w:sz w:val="24"/>
          <w:szCs w:val="24"/>
          <w:highlight w:val="none"/>
          <w:lang w:val="zh-CN"/>
        </w:rPr>
        <w:br w:type="page"/>
      </w:r>
    </w:p>
    <w:p w14:paraId="4ED762F5">
      <w:pPr>
        <w:jc w:val="center"/>
        <w:outlineLvl w:val="0"/>
        <w:rPr>
          <w:color w:val="auto"/>
          <w:sz w:val="24"/>
          <w:szCs w:val="24"/>
          <w:highlight w:val="none"/>
          <w:lang w:val="zh-CN"/>
        </w:rPr>
      </w:pPr>
      <w:bookmarkStart w:id="155" w:name="_Toc15521"/>
      <w:bookmarkStart w:id="156" w:name="_Toc26028"/>
      <w:bookmarkStart w:id="157" w:name="_Toc23126"/>
      <w:bookmarkStart w:id="158" w:name="_Toc26953"/>
      <w:bookmarkStart w:id="159" w:name="_Toc31973"/>
      <w:r>
        <w:rPr>
          <w:rFonts w:hint="eastAsia"/>
          <w:color w:val="auto"/>
          <w:sz w:val="24"/>
          <w:szCs w:val="24"/>
          <w:highlight w:val="none"/>
          <w:lang w:val="zh-CN"/>
        </w:rPr>
        <w:t>详细评审表</w:t>
      </w:r>
      <w:bookmarkEnd w:id="155"/>
      <w:bookmarkEnd w:id="156"/>
      <w:bookmarkEnd w:id="157"/>
      <w:bookmarkEnd w:id="158"/>
      <w:bookmarkEnd w:id="159"/>
    </w:p>
    <w:p w14:paraId="21DC61B1">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 xml:space="preserve"> </w:t>
      </w:r>
    </w:p>
    <w:p w14:paraId="50841788">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宋体" w:hAnsi="宋体"/>
          <w:b/>
          <w:color w:val="auto"/>
          <w:sz w:val="24"/>
          <w:szCs w:val="24"/>
          <w:highlight w:val="none"/>
        </w:rPr>
      </w:pPr>
      <w:r>
        <w:rPr>
          <w:rFonts w:hint="eastAsia" w:ascii="宋体" w:hAnsi="宋体"/>
          <w:color w:val="auto"/>
          <w:sz w:val="24"/>
          <w:szCs w:val="24"/>
          <w:highlight w:val="none"/>
          <w:lang w:val="zh-CN"/>
        </w:rPr>
        <w:t>项目编号：</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 xml:space="preserve">    </w:t>
      </w:r>
      <w:r>
        <w:rPr>
          <w:rFonts w:hint="eastAsia" w:ascii="宋体" w:hAnsi="宋体"/>
          <w:bCs/>
          <w:color w:val="auto"/>
          <w:sz w:val="24"/>
          <w:szCs w:val="24"/>
          <w:highlight w:val="none"/>
          <w:lang w:val="zh-CN"/>
        </w:rPr>
        <w:t xml:space="preserve">                项目名称：</w:t>
      </w:r>
      <w:r>
        <w:rPr>
          <w:rFonts w:hint="eastAsia" w:ascii="宋体" w:hAnsi="宋体"/>
          <w:bCs/>
          <w:color w:val="auto"/>
          <w:sz w:val="24"/>
          <w:szCs w:val="24"/>
          <w:highlight w:val="none"/>
          <w:u w:val="single"/>
          <w:lang w:val="zh-CN"/>
        </w:rPr>
        <w:t xml:space="preserve">       </w:t>
      </w:r>
      <w:r>
        <w:rPr>
          <w:rFonts w:ascii="宋体" w:hAnsi="宋体"/>
          <w:bCs/>
          <w:color w:val="auto"/>
          <w:sz w:val="24"/>
          <w:szCs w:val="24"/>
          <w:highlight w:val="none"/>
          <w:u w:val="single"/>
          <w:lang w:val="zh-CN"/>
        </w:rPr>
        <w:t xml:space="preserve">      </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3080"/>
      </w:tblGrid>
      <w:tr w14:paraId="027C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Borders>
              <w:top w:val="single" w:color="auto" w:sz="4" w:space="0"/>
              <w:left w:val="single" w:color="auto" w:sz="4" w:space="0"/>
              <w:bottom w:val="single" w:color="auto" w:sz="4" w:space="0"/>
              <w:right w:val="single" w:color="auto" w:sz="4" w:space="0"/>
            </w:tcBorders>
            <w:shd w:val="clear" w:color="auto" w:fill="F1F1F1"/>
            <w:vAlign w:val="center"/>
          </w:tcPr>
          <w:p w14:paraId="5878C400">
            <w:pPr>
              <w:jc w:val="center"/>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序号</w:t>
            </w:r>
          </w:p>
        </w:tc>
        <w:tc>
          <w:tcPr>
            <w:tcW w:w="2767" w:type="dxa"/>
            <w:tcBorders>
              <w:top w:val="single" w:color="auto" w:sz="4" w:space="0"/>
              <w:left w:val="single" w:color="auto" w:sz="4" w:space="0"/>
              <w:bottom w:val="single" w:color="auto" w:sz="4" w:space="0"/>
              <w:right w:val="single" w:color="auto" w:sz="4" w:space="0"/>
            </w:tcBorders>
            <w:shd w:val="clear" w:color="auto" w:fill="F1F1F1"/>
            <w:vAlign w:val="center"/>
          </w:tcPr>
          <w:p w14:paraId="313837ED">
            <w:pPr>
              <w:jc w:val="center"/>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评分条款序号及内容</w:t>
            </w:r>
          </w:p>
        </w:tc>
        <w:tc>
          <w:tcPr>
            <w:tcW w:w="2767" w:type="dxa"/>
            <w:tcBorders>
              <w:top w:val="single" w:color="auto" w:sz="4" w:space="0"/>
              <w:left w:val="single" w:color="auto" w:sz="4" w:space="0"/>
              <w:bottom w:val="single" w:color="auto" w:sz="4" w:space="0"/>
              <w:right w:val="single" w:color="auto" w:sz="4" w:space="0"/>
            </w:tcBorders>
            <w:shd w:val="clear" w:color="auto" w:fill="F1F1F1"/>
            <w:vAlign w:val="center"/>
          </w:tcPr>
          <w:p w14:paraId="6E734BEC">
            <w:pPr>
              <w:jc w:val="center"/>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响应内容对应简述</w:t>
            </w:r>
          </w:p>
        </w:tc>
        <w:tc>
          <w:tcPr>
            <w:tcW w:w="3080" w:type="dxa"/>
            <w:tcBorders>
              <w:top w:val="single" w:color="auto" w:sz="4" w:space="0"/>
              <w:left w:val="single" w:color="auto" w:sz="4" w:space="0"/>
              <w:bottom w:val="single" w:color="auto" w:sz="4" w:space="0"/>
              <w:right w:val="single" w:color="auto" w:sz="4" w:space="0"/>
            </w:tcBorders>
            <w:shd w:val="clear" w:color="auto" w:fill="F1F1F1"/>
            <w:vAlign w:val="center"/>
          </w:tcPr>
          <w:p w14:paraId="6313E6F0">
            <w:pPr>
              <w:jc w:val="center"/>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偏离说明</w:t>
            </w:r>
          </w:p>
        </w:tc>
      </w:tr>
      <w:tr w14:paraId="15FE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42" w:type="dxa"/>
            <w:tcBorders>
              <w:top w:val="single" w:color="auto" w:sz="4" w:space="0"/>
              <w:left w:val="single" w:color="auto" w:sz="4" w:space="0"/>
              <w:bottom w:val="single" w:color="auto" w:sz="4" w:space="0"/>
              <w:right w:val="single" w:color="auto" w:sz="4" w:space="0"/>
            </w:tcBorders>
            <w:vAlign w:val="center"/>
          </w:tcPr>
          <w:p w14:paraId="4199409B">
            <w:pPr>
              <w:jc w:val="center"/>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1</w:t>
            </w:r>
          </w:p>
        </w:tc>
        <w:tc>
          <w:tcPr>
            <w:tcW w:w="2767" w:type="dxa"/>
            <w:tcBorders>
              <w:top w:val="single" w:color="auto" w:sz="4" w:space="0"/>
              <w:left w:val="single" w:color="auto" w:sz="4" w:space="0"/>
              <w:bottom w:val="single" w:color="auto" w:sz="4" w:space="0"/>
              <w:right w:val="single" w:color="auto" w:sz="4" w:space="0"/>
            </w:tcBorders>
            <w:vAlign w:val="center"/>
          </w:tcPr>
          <w:p w14:paraId="200083A8">
            <w:pPr>
              <w:jc w:val="center"/>
              <w:rPr>
                <w:rFonts w:hint="eastAsia" w:ascii="宋体" w:hAnsi="宋体" w:cs="仿宋_GB2312"/>
                <w:color w:val="auto"/>
                <w:sz w:val="24"/>
                <w:szCs w:val="24"/>
                <w:highlight w:val="none"/>
              </w:rPr>
            </w:pPr>
          </w:p>
        </w:tc>
        <w:tc>
          <w:tcPr>
            <w:tcW w:w="2767" w:type="dxa"/>
            <w:tcBorders>
              <w:top w:val="single" w:color="auto" w:sz="4" w:space="0"/>
              <w:left w:val="single" w:color="auto" w:sz="4" w:space="0"/>
              <w:bottom w:val="single" w:color="auto" w:sz="4" w:space="0"/>
              <w:right w:val="single" w:color="auto" w:sz="4" w:space="0"/>
            </w:tcBorders>
            <w:vAlign w:val="center"/>
          </w:tcPr>
          <w:p w14:paraId="4CFDB13B">
            <w:pPr>
              <w:jc w:val="center"/>
              <w:rPr>
                <w:rFonts w:hint="eastAsia" w:ascii="宋体" w:hAnsi="宋体" w:cs="仿宋_GB2312"/>
                <w:color w:val="auto"/>
                <w:sz w:val="24"/>
                <w:szCs w:val="24"/>
                <w:highlight w:val="none"/>
              </w:rPr>
            </w:pPr>
          </w:p>
        </w:tc>
        <w:tc>
          <w:tcPr>
            <w:tcW w:w="3080" w:type="dxa"/>
            <w:tcBorders>
              <w:top w:val="single" w:color="auto" w:sz="4" w:space="0"/>
              <w:left w:val="single" w:color="auto" w:sz="4" w:space="0"/>
              <w:bottom w:val="single" w:color="auto" w:sz="4" w:space="0"/>
              <w:right w:val="single" w:color="auto" w:sz="4" w:space="0"/>
            </w:tcBorders>
            <w:vAlign w:val="center"/>
          </w:tcPr>
          <w:p w14:paraId="2EBDDE0B">
            <w:pPr>
              <w:jc w:val="center"/>
              <w:rPr>
                <w:rFonts w:hint="eastAsia" w:ascii="宋体" w:hAnsi="宋体" w:cs="仿宋_GB2312"/>
                <w:color w:val="auto"/>
                <w:sz w:val="24"/>
                <w:szCs w:val="24"/>
                <w:highlight w:val="none"/>
              </w:rPr>
            </w:pPr>
          </w:p>
        </w:tc>
      </w:tr>
      <w:tr w14:paraId="435B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42" w:type="dxa"/>
            <w:tcBorders>
              <w:top w:val="single" w:color="auto" w:sz="4" w:space="0"/>
              <w:left w:val="single" w:color="auto" w:sz="4" w:space="0"/>
              <w:bottom w:val="single" w:color="auto" w:sz="4" w:space="0"/>
              <w:right w:val="single" w:color="auto" w:sz="4" w:space="0"/>
            </w:tcBorders>
            <w:vAlign w:val="center"/>
          </w:tcPr>
          <w:p w14:paraId="46C20FFC">
            <w:pPr>
              <w:jc w:val="center"/>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2</w:t>
            </w:r>
          </w:p>
        </w:tc>
        <w:tc>
          <w:tcPr>
            <w:tcW w:w="2767" w:type="dxa"/>
            <w:tcBorders>
              <w:top w:val="single" w:color="auto" w:sz="4" w:space="0"/>
              <w:left w:val="single" w:color="auto" w:sz="4" w:space="0"/>
              <w:bottom w:val="single" w:color="auto" w:sz="4" w:space="0"/>
              <w:right w:val="single" w:color="auto" w:sz="4" w:space="0"/>
            </w:tcBorders>
            <w:vAlign w:val="center"/>
          </w:tcPr>
          <w:p w14:paraId="6EF82947">
            <w:pPr>
              <w:jc w:val="center"/>
              <w:rPr>
                <w:rFonts w:hint="eastAsia" w:ascii="宋体" w:hAnsi="宋体" w:cs="仿宋_GB2312"/>
                <w:color w:val="auto"/>
                <w:sz w:val="24"/>
                <w:szCs w:val="24"/>
                <w:highlight w:val="none"/>
              </w:rPr>
            </w:pPr>
          </w:p>
        </w:tc>
        <w:tc>
          <w:tcPr>
            <w:tcW w:w="2767" w:type="dxa"/>
            <w:tcBorders>
              <w:top w:val="single" w:color="auto" w:sz="4" w:space="0"/>
              <w:left w:val="single" w:color="auto" w:sz="4" w:space="0"/>
              <w:bottom w:val="single" w:color="auto" w:sz="4" w:space="0"/>
              <w:right w:val="single" w:color="auto" w:sz="4" w:space="0"/>
            </w:tcBorders>
            <w:vAlign w:val="center"/>
          </w:tcPr>
          <w:p w14:paraId="4498CC78">
            <w:pPr>
              <w:jc w:val="center"/>
              <w:rPr>
                <w:rFonts w:hint="eastAsia" w:ascii="宋体" w:hAnsi="宋体" w:cs="仿宋_GB2312"/>
                <w:color w:val="auto"/>
                <w:sz w:val="24"/>
                <w:szCs w:val="24"/>
                <w:highlight w:val="none"/>
              </w:rPr>
            </w:pPr>
          </w:p>
        </w:tc>
        <w:tc>
          <w:tcPr>
            <w:tcW w:w="3080" w:type="dxa"/>
            <w:tcBorders>
              <w:top w:val="single" w:color="auto" w:sz="4" w:space="0"/>
              <w:left w:val="single" w:color="auto" w:sz="4" w:space="0"/>
              <w:bottom w:val="single" w:color="auto" w:sz="4" w:space="0"/>
              <w:right w:val="single" w:color="auto" w:sz="4" w:space="0"/>
            </w:tcBorders>
            <w:vAlign w:val="center"/>
          </w:tcPr>
          <w:p w14:paraId="570B2D83">
            <w:pPr>
              <w:jc w:val="center"/>
              <w:rPr>
                <w:rFonts w:hint="eastAsia" w:ascii="宋体" w:hAnsi="宋体" w:cs="仿宋_GB2312"/>
                <w:color w:val="auto"/>
                <w:sz w:val="24"/>
                <w:szCs w:val="24"/>
                <w:highlight w:val="none"/>
              </w:rPr>
            </w:pPr>
          </w:p>
        </w:tc>
      </w:tr>
      <w:tr w14:paraId="35AE9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42" w:type="dxa"/>
            <w:tcBorders>
              <w:top w:val="single" w:color="auto" w:sz="4" w:space="0"/>
              <w:left w:val="single" w:color="auto" w:sz="4" w:space="0"/>
              <w:bottom w:val="single" w:color="auto" w:sz="4" w:space="0"/>
              <w:right w:val="single" w:color="auto" w:sz="4" w:space="0"/>
            </w:tcBorders>
            <w:vAlign w:val="center"/>
          </w:tcPr>
          <w:p w14:paraId="576FC925">
            <w:pPr>
              <w:jc w:val="center"/>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3</w:t>
            </w:r>
          </w:p>
        </w:tc>
        <w:tc>
          <w:tcPr>
            <w:tcW w:w="2767" w:type="dxa"/>
            <w:tcBorders>
              <w:top w:val="single" w:color="auto" w:sz="4" w:space="0"/>
              <w:left w:val="single" w:color="auto" w:sz="4" w:space="0"/>
              <w:bottom w:val="single" w:color="auto" w:sz="4" w:space="0"/>
              <w:right w:val="single" w:color="auto" w:sz="4" w:space="0"/>
            </w:tcBorders>
            <w:vAlign w:val="center"/>
          </w:tcPr>
          <w:p w14:paraId="6AFAC1BF">
            <w:pPr>
              <w:jc w:val="center"/>
              <w:rPr>
                <w:rFonts w:hint="eastAsia" w:ascii="宋体" w:hAnsi="宋体" w:cs="仿宋_GB2312"/>
                <w:color w:val="auto"/>
                <w:sz w:val="24"/>
                <w:szCs w:val="24"/>
                <w:highlight w:val="none"/>
              </w:rPr>
            </w:pPr>
          </w:p>
        </w:tc>
        <w:tc>
          <w:tcPr>
            <w:tcW w:w="2767" w:type="dxa"/>
            <w:tcBorders>
              <w:top w:val="single" w:color="auto" w:sz="4" w:space="0"/>
              <w:left w:val="single" w:color="auto" w:sz="4" w:space="0"/>
              <w:bottom w:val="single" w:color="auto" w:sz="4" w:space="0"/>
              <w:right w:val="single" w:color="auto" w:sz="4" w:space="0"/>
            </w:tcBorders>
            <w:vAlign w:val="center"/>
          </w:tcPr>
          <w:p w14:paraId="60369B32">
            <w:pPr>
              <w:jc w:val="center"/>
              <w:rPr>
                <w:rFonts w:hint="eastAsia" w:ascii="宋体" w:hAnsi="宋体" w:cs="仿宋_GB2312"/>
                <w:color w:val="auto"/>
                <w:sz w:val="24"/>
                <w:szCs w:val="24"/>
                <w:highlight w:val="none"/>
              </w:rPr>
            </w:pPr>
          </w:p>
        </w:tc>
        <w:tc>
          <w:tcPr>
            <w:tcW w:w="3080" w:type="dxa"/>
            <w:tcBorders>
              <w:top w:val="single" w:color="auto" w:sz="4" w:space="0"/>
              <w:left w:val="single" w:color="auto" w:sz="4" w:space="0"/>
              <w:bottom w:val="single" w:color="auto" w:sz="4" w:space="0"/>
              <w:right w:val="single" w:color="auto" w:sz="4" w:space="0"/>
            </w:tcBorders>
            <w:vAlign w:val="center"/>
          </w:tcPr>
          <w:p w14:paraId="4613B8ED">
            <w:pPr>
              <w:jc w:val="center"/>
              <w:rPr>
                <w:rFonts w:hint="eastAsia" w:ascii="宋体" w:hAnsi="宋体" w:cs="仿宋_GB2312"/>
                <w:color w:val="auto"/>
                <w:sz w:val="24"/>
                <w:szCs w:val="24"/>
                <w:highlight w:val="none"/>
              </w:rPr>
            </w:pPr>
          </w:p>
        </w:tc>
      </w:tr>
      <w:tr w14:paraId="161D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42" w:type="dxa"/>
            <w:tcBorders>
              <w:top w:val="single" w:color="auto" w:sz="4" w:space="0"/>
              <w:left w:val="single" w:color="auto" w:sz="4" w:space="0"/>
              <w:bottom w:val="single" w:color="auto" w:sz="4" w:space="0"/>
              <w:right w:val="single" w:color="auto" w:sz="4" w:space="0"/>
            </w:tcBorders>
            <w:vAlign w:val="center"/>
          </w:tcPr>
          <w:p w14:paraId="37471BF0">
            <w:pPr>
              <w:jc w:val="center"/>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4</w:t>
            </w:r>
          </w:p>
        </w:tc>
        <w:tc>
          <w:tcPr>
            <w:tcW w:w="2767" w:type="dxa"/>
            <w:tcBorders>
              <w:top w:val="single" w:color="auto" w:sz="4" w:space="0"/>
              <w:left w:val="single" w:color="auto" w:sz="4" w:space="0"/>
              <w:bottom w:val="single" w:color="auto" w:sz="4" w:space="0"/>
              <w:right w:val="single" w:color="auto" w:sz="4" w:space="0"/>
            </w:tcBorders>
            <w:vAlign w:val="center"/>
          </w:tcPr>
          <w:p w14:paraId="7DA3B195">
            <w:pPr>
              <w:jc w:val="center"/>
              <w:rPr>
                <w:rFonts w:hint="eastAsia" w:ascii="宋体" w:hAnsi="宋体" w:cs="仿宋_GB2312"/>
                <w:color w:val="auto"/>
                <w:sz w:val="24"/>
                <w:szCs w:val="24"/>
                <w:highlight w:val="none"/>
              </w:rPr>
            </w:pPr>
          </w:p>
        </w:tc>
        <w:tc>
          <w:tcPr>
            <w:tcW w:w="2767" w:type="dxa"/>
            <w:tcBorders>
              <w:top w:val="single" w:color="auto" w:sz="4" w:space="0"/>
              <w:left w:val="single" w:color="auto" w:sz="4" w:space="0"/>
              <w:bottom w:val="single" w:color="auto" w:sz="4" w:space="0"/>
              <w:right w:val="single" w:color="auto" w:sz="4" w:space="0"/>
            </w:tcBorders>
            <w:vAlign w:val="center"/>
          </w:tcPr>
          <w:p w14:paraId="5A46DB7A">
            <w:pPr>
              <w:jc w:val="center"/>
              <w:rPr>
                <w:rFonts w:hint="eastAsia" w:ascii="宋体" w:hAnsi="宋体" w:cs="仿宋_GB2312"/>
                <w:color w:val="auto"/>
                <w:sz w:val="24"/>
                <w:szCs w:val="24"/>
                <w:highlight w:val="none"/>
              </w:rPr>
            </w:pPr>
          </w:p>
        </w:tc>
        <w:tc>
          <w:tcPr>
            <w:tcW w:w="3080" w:type="dxa"/>
            <w:tcBorders>
              <w:top w:val="single" w:color="auto" w:sz="4" w:space="0"/>
              <w:left w:val="single" w:color="auto" w:sz="4" w:space="0"/>
              <w:bottom w:val="single" w:color="auto" w:sz="4" w:space="0"/>
              <w:right w:val="single" w:color="auto" w:sz="4" w:space="0"/>
            </w:tcBorders>
            <w:vAlign w:val="center"/>
          </w:tcPr>
          <w:p w14:paraId="7EB13EA5">
            <w:pPr>
              <w:jc w:val="center"/>
              <w:rPr>
                <w:rFonts w:hint="eastAsia" w:ascii="宋体" w:hAnsi="宋体" w:cs="仿宋_GB2312"/>
                <w:color w:val="auto"/>
                <w:sz w:val="24"/>
                <w:szCs w:val="24"/>
                <w:highlight w:val="none"/>
              </w:rPr>
            </w:pPr>
          </w:p>
        </w:tc>
      </w:tr>
      <w:tr w14:paraId="31C6F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42" w:type="dxa"/>
            <w:tcBorders>
              <w:top w:val="single" w:color="auto" w:sz="4" w:space="0"/>
              <w:left w:val="single" w:color="auto" w:sz="4" w:space="0"/>
              <w:bottom w:val="single" w:color="auto" w:sz="4" w:space="0"/>
              <w:right w:val="single" w:color="auto" w:sz="4" w:space="0"/>
            </w:tcBorders>
            <w:vAlign w:val="center"/>
          </w:tcPr>
          <w:p w14:paraId="12EED188">
            <w:pPr>
              <w:jc w:val="center"/>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5</w:t>
            </w:r>
          </w:p>
        </w:tc>
        <w:tc>
          <w:tcPr>
            <w:tcW w:w="2767" w:type="dxa"/>
            <w:tcBorders>
              <w:top w:val="single" w:color="auto" w:sz="4" w:space="0"/>
              <w:left w:val="single" w:color="auto" w:sz="4" w:space="0"/>
              <w:bottom w:val="single" w:color="auto" w:sz="4" w:space="0"/>
              <w:right w:val="single" w:color="auto" w:sz="4" w:space="0"/>
            </w:tcBorders>
            <w:vAlign w:val="center"/>
          </w:tcPr>
          <w:p w14:paraId="0AE48984">
            <w:pPr>
              <w:jc w:val="center"/>
              <w:rPr>
                <w:rFonts w:hint="eastAsia" w:ascii="宋体" w:hAnsi="宋体" w:cs="仿宋_GB2312"/>
                <w:color w:val="auto"/>
                <w:sz w:val="24"/>
                <w:szCs w:val="24"/>
                <w:highlight w:val="none"/>
              </w:rPr>
            </w:pPr>
          </w:p>
        </w:tc>
        <w:tc>
          <w:tcPr>
            <w:tcW w:w="2767" w:type="dxa"/>
            <w:tcBorders>
              <w:top w:val="single" w:color="auto" w:sz="4" w:space="0"/>
              <w:left w:val="single" w:color="auto" w:sz="4" w:space="0"/>
              <w:bottom w:val="single" w:color="auto" w:sz="4" w:space="0"/>
              <w:right w:val="single" w:color="auto" w:sz="4" w:space="0"/>
            </w:tcBorders>
            <w:vAlign w:val="center"/>
          </w:tcPr>
          <w:p w14:paraId="7A7D723F">
            <w:pPr>
              <w:jc w:val="center"/>
              <w:rPr>
                <w:rFonts w:hint="eastAsia" w:ascii="宋体" w:hAnsi="宋体" w:cs="仿宋_GB2312"/>
                <w:color w:val="auto"/>
                <w:sz w:val="24"/>
                <w:szCs w:val="24"/>
                <w:highlight w:val="none"/>
              </w:rPr>
            </w:pPr>
          </w:p>
        </w:tc>
        <w:tc>
          <w:tcPr>
            <w:tcW w:w="3080" w:type="dxa"/>
            <w:tcBorders>
              <w:top w:val="single" w:color="auto" w:sz="4" w:space="0"/>
              <w:left w:val="single" w:color="auto" w:sz="4" w:space="0"/>
              <w:bottom w:val="single" w:color="auto" w:sz="4" w:space="0"/>
              <w:right w:val="single" w:color="auto" w:sz="4" w:space="0"/>
            </w:tcBorders>
            <w:vAlign w:val="center"/>
          </w:tcPr>
          <w:p w14:paraId="3167E26C">
            <w:pPr>
              <w:jc w:val="center"/>
              <w:rPr>
                <w:rFonts w:hint="eastAsia" w:ascii="宋体" w:hAnsi="宋体" w:cs="仿宋_GB2312"/>
                <w:color w:val="auto"/>
                <w:sz w:val="24"/>
                <w:szCs w:val="24"/>
                <w:highlight w:val="none"/>
              </w:rPr>
            </w:pPr>
          </w:p>
        </w:tc>
      </w:tr>
      <w:tr w14:paraId="6D0B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42" w:type="dxa"/>
            <w:tcBorders>
              <w:top w:val="single" w:color="auto" w:sz="4" w:space="0"/>
              <w:left w:val="single" w:color="auto" w:sz="4" w:space="0"/>
              <w:bottom w:val="single" w:color="auto" w:sz="4" w:space="0"/>
              <w:right w:val="single" w:color="auto" w:sz="4" w:space="0"/>
            </w:tcBorders>
            <w:vAlign w:val="center"/>
          </w:tcPr>
          <w:p w14:paraId="643D69C8">
            <w:pPr>
              <w:jc w:val="center"/>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6</w:t>
            </w:r>
          </w:p>
        </w:tc>
        <w:tc>
          <w:tcPr>
            <w:tcW w:w="2767" w:type="dxa"/>
            <w:tcBorders>
              <w:top w:val="single" w:color="auto" w:sz="4" w:space="0"/>
              <w:left w:val="single" w:color="auto" w:sz="4" w:space="0"/>
              <w:bottom w:val="single" w:color="auto" w:sz="4" w:space="0"/>
              <w:right w:val="single" w:color="auto" w:sz="4" w:space="0"/>
            </w:tcBorders>
            <w:vAlign w:val="center"/>
          </w:tcPr>
          <w:p w14:paraId="4A350166">
            <w:pPr>
              <w:jc w:val="center"/>
              <w:rPr>
                <w:rFonts w:hint="eastAsia" w:ascii="宋体" w:hAnsi="宋体" w:cs="仿宋_GB2312"/>
                <w:color w:val="auto"/>
                <w:sz w:val="24"/>
                <w:szCs w:val="24"/>
                <w:highlight w:val="none"/>
              </w:rPr>
            </w:pPr>
          </w:p>
        </w:tc>
        <w:tc>
          <w:tcPr>
            <w:tcW w:w="2767" w:type="dxa"/>
            <w:tcBorders>
              <w:top w:val="single" w:color="auto" w:sz="4" w:space="0"/>
              <w:left w:val="single" w:color="auto" w:sz="4" w:space="0"/>
              <w:bottom w:val="single" w:color="auto" w:sz="4" w:space="0"/>
              <w:right w:val="single" w:color="auto" w:sz="4" w:space="0"/>
            </w:tcBorders>
            <w:vAlign w:val="center"/>
          </w:tcPr>
          <w:p w14:paraId="59022A87">
            <w:pPr>
              <w:jc w:val="center"/>
              <w:rPr>
                <w:rFonts w:hint="eastAsia" w:ascii="宋体" w:hAnsi="宋体" w:cs="仿宋_GB2312"/>
                <w:color w:val="auto"/>
                <w:sz w:val="24"/>
                <w:szCs w:val="24"/>
                <w:highlight w:val="none"/>
              </w:rPr>
            </w:pPr>
          </w:p>
        </w:tc>
        <w:tc>
          <w:tcPr>
            <w:tcW w:w="3080" w:type="dxa"/>
            <w:tcBorders>
              <w:top w:val="single" w:color="auto" w:sz="4" w:space="0"/>
              <w:left w:val="single" w:color="auto" w:sz="4" w:space="0"/>
              <w:bottom w:val="single" w:color="auto" w:sz="4" w:space="0"/>
              <w:right w:val="single" w:color="auto" w:sz="4" w:space="0"/>
            </w:tcBorders>
            <w:vAlign w:val="center"/>
          </w:tcPr>
          <w:p w14:paraId="7EC8AB92">
            <w:pPr>
              <w:jc w:val="center"/>
              <w:rPr>
                <w:rFonts w:hint="eastAsia" w:ascii="宋体" w:hAnsi="宋体" w:cs="仿宋_GB2312"/>
                <w:color w:val="auto"/>
                <w:sz w:val="24"/>
                <w:szCs w:val="24"/>
                <w:highlight w:val="none"/>
              </w:rPr>
            </w:pPr>
          </w:p>
        </w:tc>
      </w:tr>
      <w:tr w14:paraId="2EA8A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42" w:type="dxa"/>
            <w:tcBorders>
              <w:top w:val="single" w:color="auto" w:sz="4" w:space="0"/>
              <w:left w:val="single" w:color="auto" w:sz="4" w:space="0"/>
              <w:bottom w:val="single" w:color="auto" w:sz="4" w:space="0"/>
              <w:right w:val="single" w:color="auto" w:sz="4" w:space="0"/>
            </w:tcBorders>
            <w:vAlign w:val="center"/>
          </w:tcPr>
          <w:p w14:paraId="70410983">
            <w:pPr>
              <w:jc w:val="center"/>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w:t>
            </w:r>
          </w:p>
        </w:tc>
        <w:tc>
          <w:tcPr>
            <w:tcW w:w="2767" w:type="dxa"/>
            <w:tcBorders>
              <w:top w:val="single" w:color="auto" w:sz="4" w:space="0"/>
              <w:left w:val="single" w:color="auto" w:sz="4" w:space="0"/>
              <w:bottom w:val="single" w:color="auto" w:sz="4" w:space="0"/>
              <w:right w:val="single" w:color="auto" w:sz="4" w:space="0"/>
            </w:tcBorders>
            <w:vAlign w:val="center"/>
          </w:tcPr>
          <w:p w14:paraId="546F14BA">
            <w:pPr>
              <w:jc w:val="center"/>
              <w:rPr>
                <w:rFonts w:hint="eastAsia" w:ascii="宋体" w:hAnsi="宋体" w:cs="仿宋_GB2312"/>
                <w:color w:val="auto"/>
                <w:sz w:val="24"/>
                <w:szCs w:val="24"/>
                <w:highlight w:val="none"/>
              </w:rPr>
            </w:pPr>
          </w:p>
        </w:tc>
        <w:tc>
          <w:tcPr>
            <w:tcW w:w="2767" w:type="dxa"/>
            <w:tcBorders>
              <w:top w:val="single" w:color="auto" w:sz="4" w:space="0"/>
              <w:left w:val="single" w:color="auto" w:sz="4" w:space="0"/>
              <w:bottom w:val="single" w:color="auto" w:sz="4" w:space="0"/>
              <w:right w:val="single" w:color="auto" w:sz="4" w:space="0"/>
            </w:tcBorders>
            <w:vAlign w:val="center"/>
          </w:tcPr>
          <w:p w14:paraId="60D3D9E0">
            <w:pPr>
              <w:jc w:val="center"/>
              <w:rPr>
                <w:rFonts w:hint="eastAsia" w:ascii="宋体" w:hAnsi="宋体" w:cs="仿宋_GB2312"/>
                <w:color w:val="auto"/>
                <w:sz w:val="24"/>
                <w:szCs w:val="24"/>
                <w:highlight w:val="none"/>
              </w:rPr>
            </w:pPr>
          </w:p>
        </w:tc>
        <w:tc>
          <w:tcPr>
            <w:tcW w:w="3080" w:type="dxa"/>
            <w:tcBorders>
              <w:top w:val="single" w:color="auto" w:sz="4" w:space="0"/>
              <w:left w:val="single" w:color="auto" w:sz="4" w:space="0"/>
              <w:bottom w:val="single" w:color="auto" w:sz="4" w:space="0"/>
              <w:right w:val="single" w:color="auto" w:sz="4" w:space="0"/>
            </w:tcBorders>
            <w:vAlign w:val="center"/>
          </w:tcPr>
          <w:p w14:paraId="6511BD45">
            <w:pPr>
              <w:jc w:val="center"/>
              <w:rPr>
                <w:rFonts w:hint="eastAsia" w:ascii="宋体" w:hAnsi="宋体" w:cs="仿宋_GB2312"/>
                <w:color w:val="auto"/>
                <w:sz w:val="24"/>
                <w:szCs w:val="24"/>
                <w:highlight w:val="none"/>
              </w:rPr>
            </w:pPr>
          </w:p>
        </w:tc>
      </w:tr>
    </w:tbl>
    <w:p w14:paraId="1F7A6A64">
      <w:pPr>
        <w:ind w:left="1092" w:hanging="1092" w:hangingChars="455"/>
        <w:rPr>
          <w:rFonts w:hint="eastAsia" w:ascii="宋体" w:hAnsi="宋体" w:cs="Corbel"/>
          <w:color w:val="auto"/>
          <w:sz w:val="24"/>
          <w:szCs w:val="24"/>
          <w:highlight w:val="none"/>
        </w:rPr>
      </w:pPr>
      <w:r>
        <w:rPr>
          <w:rFonts w:hint="eastAsia" w:ascii="宋体" w:hAnsi="宋体" w:cs="Corbel"/>
          <w:color w:val="auto"/>
          <w:sz w:val="24"/>
          <w:szCs w:val="24"/>
          <w:highlight w:val="none"/>
        </w:rPr>
        <w:t>说明：1．供应商应对照采购文件第四章中《评审因素及评分标准》条款进行逐项说明是否满足要求，如有偏离,供应商应详细说明。未按照要求填写此表或仅注明“符合”、“满足”的，导致的后果由供应商自行承担。</w:t>
      </w:r>
    </w:p>
    <w:p w14:paraId="4F3B389B">
      <w:pPr>
        <w:ind w:left="928" w:leftChars="253" w:hanging="372" w:hangingChars="155"/>
        <w:rPr>
          <w:rFonts w:hint="eastAsia" w:ascii="宋体" w:hAnsi="宋体"/>
          <w:color w:val="auto"/>
          <w:sz w:val="24"/>
          <w:szCs w:val="24"/>
          <w:highlight w:val="none"/>
        </w:rPr>
      </w:pPr>
      <w:r>
        <w:rPr>
          <w:rFonts w:hint="eastAsia" w:ascii="宋体" w:hAnsi="宋体"/>
          <w:bCs/>
          <w:color w:val="auto"/>
          <w:sz w:val="24"/>
          <w:szCs w:val="24"/>
          <w:highlight w:val="none"/>
        </w:rPr>
        <w:t>2.供应商应将评审条款</w:t>
      </w:r>
      <w:r>
        <w:rPr>
          <w:rFonts w:ascii="宋体" w:hAnsi="宋体"/>
          <w:bCs/>
          <w:color w:val="auto"/>
          <w:sz w:val="24"/>
          <w:szCs w:val="24"/>
          <w:highlight w:val="none"/>
        </w:rPr>
        <w:t>与</w:t>
      </w:r>
      <w:r>
        <w:rPr>
          <w:rFonts w:hint="eastAsia" w:ascii="宋体" w:hAnsi="宋体"/>
          <w:bCs/>
          <w:color w:val="auto"/>
          <w:sz w:val="24"/>
          <w:szCs w:val="24"/>
          <w:highlight w:val="none"/>
        </w:rPr>
        <w:t>响应</w:t>
      </w:r>
      <w:r>
        <w:rPr>
          <w:rFonts w:ascii="宋体" w:hAnsi="宋体"/>
          <w:bCs/>
          <w:color w:val="auto"/>
          <w:sz w:val="24"/>
          <w:szCs w:val="24"/>
          <w:highlight w:val="none"/>
        </w:rPr>
        <w:t>文件</w:t>
      </w:r>
      <w:r>
        <w:rPr>
          <w:rFonts w:hint="eastAsia" w:ascii="宋体" w:hAnsi="宋体"/>
          <w:bCs/>
          <w:color w:val="auto"/>
          <w:sz w:val="24"/>
          <w:szCs w:val="24"/>
          <w:highlight w:val="none"/>
        </w:rPr>
        <w:t>中相关</w:t>
      </w:r>
      <w:r>
        <w:rPr>
          <w:rFonts w:ascii="宋体" w:hAnsi="宋体"/>
          <w:bCs/>
          <w:color w:val="auto"/>
          <w:sz w:val="24"/>
          <w:szCs w:val="24"/>
          <w:highlight w:val="none"/>
        </w:rPr>
        <w:t>证明材料建立对应关系</w:t>
      </w:r>
      <w:r>
        <w:rPr>
          <w:rFonts w:hint="eastAsia" w:ascii="宋体" w:hAnsi="宋体"/>
          <w:bCs/>
          <w:color w:val="auto"/>
          <w:sz w:val="24"/>
          <w:szCs w:val="24"/>
          <w:highlight w:val="none"/>
        </w:rPr>
        <w:t>。</w:t>
      </w:r>
    </w:p>
    <w:p w14:paraId="7329EF8C">
      <w:pPr>
        <w:ind w:left="1095" w:leftChars="339" w:hanging="350" w:hangingChars="146"/>
        <w:rPr>
          <w:rFonts w:hint="eastAsia" w:ascii="宋体" w:hAnsi="宋体" w:cs="Corbel"/>
          <w:color w:val="auto"/>
          <w:kern w:val="2"/>
          <w:sz w:val="24"/>
          <w:szCs w:val="24"/>
          <w:highlight w:val="none"/>
        </w:rPr>
      </w:pPr>
    </w:p>
    <w:p w14:paraId="3660DE67">
      <w:pPr>
        <w:spacing w:before="100" w:beforeAutospacing="1" w:after="100" w:afterAutospacing="1"/>
        <w:ind w:firstLine="3316" w:firstLineChars="1382"/>
        <w:rPr>
          <w:rFonts w:hint="eastAsia" w:ascii="宋体" w:hAnsi="宋体"/>
          <w:bCs/>
          <w:color w:val="auto"/>
          <w:sz w:val="24"/>
          <w:szCs w:val="24"/>
          <w:highlight w:val="none"/>
          <w:u w:val="single"/>
        </w:rPr>
      </w:pPr>
      <w:r>
        <w:rPr>
          <w:rFonts w:hint="eastAsia" w:ascii="宋体" w:hAnsi="宋体"/>
          <w:bCs/>
          <w:color w:val="auto"/>
          <w:sz w:val="24"/>
          <w:szCs w:val="24"/>
          <w:highlight w:val="none"/>
        </w:rPr>
        <w:t>供应商名称（公章）：</w:t>
      </w:r>
      <w:r>
        <w:rPr>
          <w:rFonts w:ascii="宋体" w:hAnsi="宋体"/>
          <w:bCs/>
          <w:color w:val="auto"/>
          <w:sz w:val="24"/>
          <w:szCs w:val="24"/>
          <w:highlight w:val="none"/>
          <w:u w:val="single"/>
        </w:rPr>
        <w:t xml:space="preserve">                          </w:t>
      </w:r>
    </w:p>
    <w:p w14:paraId="7F83F36E">
      <w:pPr>
        <w:spacing w:before="100" w:beforeAutospacing="1" w:after="100" w:afterAutospacing="1"/>
        <w:ind w:firstLine="3316" w:firstLineChars="1382"/>
        <w:rPr>
          <w:rFonts w:hint="eastAsia" w:ascii="宋体" w:hAnsi="宋体"/>
          <w:color w:val="auto"/>
          <w:sz w:val="24"/>
          <w:szCs w:val="24"/>
          <w:highlight w:val="none"/>
        </w:rPr>
      </w:pPr>
      <w:r>
        <w:rPr>
          <w:rFonts w:hint="eastAsia" w:ascii="宋体" w:hAnsi="宋体"/>
          <w:bCs/>
          <w:color w:val="auto"/>
          <w:sz w:val="24"/>
          <w:szCs w:val="24"/>
          <w:highlight w:val="none"/>
          <w:lang w:val="zh-CN"/>
        </w:rPr>
        <w:t>日期</w:t>
      </w:r>
      <w:r>
        <w:rPr>
          <w:rFonts w:hint="eastAsia" w:ascii="宋体" w:hAnsi="宋体"/>
          <w:bCs/>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日</w:t>
      </w:r>
    </w:p>
    <w:p w14:paraId="673EB4EA">
      <w:pPr>
        <w:rPr>
          <w:color w:val="auto"/>
          <w:sz w:val="34"/>
          <w:szCs w:val="32"/>
          <w:highlight w:val="none"/>
        </w:rPr>
      </w:pPr>
      <w:r>
        <w:rPr>
          <w:color w:val="auto"/>
          <w:sz w:val="34"/>
          <w:szCs w:val="32"/>
          <w:highlight w:val="none"/>
        </w:rPr>
        <w:br w:type="page"/>
      </w:r>
    </w:p>
    <w:p w14:paraId="6F5CC6FF">
      <w:pPr>
        <w:spacing w:after="0" w:line="440" w:lineRule="exact"/>
        <w:jc w:val="center"/>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目录</w:t>
      </w:r>
    </w:p>
    <w:p w14:paraId="2C119D62">
      <w:pPr>
        <w:widowControl w:val="0"/>
        <w:numPr>
          <w:ilvl w:val="0"/>
          <w:numId w:val="60"/>
        </w:numPr>
        <w:tabs>
          <w:tab w:val="left" w:pos="851"/>
        </w:tabs>
        <w:spacing w:after="0" w:line="440" w:lineRule="exact"/>
        <w:ind w:left="709"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磋商书</w:t>
      </w:r>
    </w:p>
    <w:p w14:paraId="5CD059FE">
      <w:pPr>
        <w:widowControl w:val="0"/>
        <w:numPr>
          <w:ilvl w:val="0"/>
          <w:numId w:val="60"/>
        </w:numPr>
        <w:tabs>
          <w:tab w:val="left" w:pos="851"/>
        </w:tabs>
        <w:spacing w:after="0" w:line="440" w:lineRule="exact"/>
        <w:ind w:left="709"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响应承诺函</w:t>
      </w:r>
    </w:p>
    <w:p w14:paraId="2186CA71">
      <w:pPr>
        <w:widowControl w:val="0"/>
        <w:numPr>
          <w:ilvl w:val="0"/>
          <w:numId w:val="60"/>
        </w:numPr>
        <w:tabs>
          <w:tab w:val="left" w:pos="851"/>
        </w:tabs>
        <w:spacing w:after="0" w:line="440" w:lineRule="exact"/>
        <w:ind w:left="709"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报价一览表</w:t>
      </w:r>
    </w:p>
    <w:p w14:paraId="668ACF45">
      <w:pPr>
        <w:widowControl w:val="0"/>
        <w:numPr>
          <w:ilvl w:val="0"/>
          <w:numId w:val="60"/>
        </w:numPr>
        <w:tabs>
          <w:tab w:val="left" w:pos="851"/>
        </w:tabs>
        <w:spacing w:after="0" w:line="440" w:lineRule="exact"/>
        <w:ind w:left="709"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报价明细表</w:t>
      </w:r>
    </w:p>
    <w:p w14:paraId="7B3F9635">
      <w:pPr>
        <w:widowControl w:val="0"/>
        <w:numPr>
          <w:ilvl w:val="0"/>
          <w:numId w:val="60"/>
        </w:numPr>
        <w:tabs>
          <w:tab w:val="left" w:pos="851"/>
        </w:tabs>
        <w:spacing w:after="0" w:line="440" w:lineRule="exact"/>
        <w:ind w:left="709"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法定代表人身份证明书</w:t>
      </w:r>
    </w:p>
    <w:p w14:paraId="5D97DFF2">
      <w:pPr>
        <w:widowControl w:val="0"/>
        <w:numPr>
          <w:ilvl w:val="0"/>
          <w:numId w:val="60"/>
        </w:numPr>
        <w:tabs>
          <w:tab w:val="left" w:pos="851"/>
        </w:tabs>
        <w:spacing w:after="0" w:line="440" w:lineRule="exact"/>
        <w:ind w:left="709"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法定代表人授权委托书</w:t>
      </w:r>
    </w:p>
    <w:p w14:paraId="5B670DC8">
      <w:pPr>
        <w:widowControl w:val="0"/>
        <w:numPr>
          <w:ilvl w:val="0"/>
          <w:numId w:val="60"/>
        </w:numPr>
        <w:tabs>
          <w:tab w:val="left" w:pos="851"/>
        </w:tabs>
        <w:spacing w:after="0" w:line="440" w:lineRule="exact"/>
        <w:ind w:left="709"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资格证明材料</w:t>
      </w:r>
    </w:p>
    <w:p w14:paraId="77EF5767">
      <w:pPr>
        <w:widowControl w:val="0"/>
        <w:numPr>
          <w:ilvl w:val="0"/>
          <w:numId w:val="60"/>
        </w:numPr>
        <w:tabs>
          <w:tab w:val="left" w:pos="851"/>
        </w:tabs>
        <w:spacing w:after="0" w:line="440" w:lineRule="exact"/>
        <w:ind w:left="709"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售后服务承诺函</w:t>
      </w:r>
    </w:p>
    <w:p w14:paraId="1D6E3A45">
      <w:pPr>
        <w:widowControl w:val="0"/>
        <w:numPr>
          <w:ilvl w:val="0"/>
          <w:numId w:val="60"/>
        </w:numPr>
        <w:tabs>
          <w:tab w:val="left" w:pos="851"/>
        </w:tabs>
        <w:spacing w:after="0" w:line="440" w:lineRule="exact"/>
        <w:ind w:left="709"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项目负责人、技术负责人简历表及证明材料</w:t>
      </w:r>
    </w:p>
    <w:p w14:paraId="2ACB9583">
      <w:pPr>
        <w:widowControl w:val="0"/>
        <w:numPr>
          <w:ilvl w:val="0"/>
          <w:numId w:val="60"/>
        </w:numPr>
        <w:tabs>
          <w:tab w:val="left" w:pos="851"/>
        </w:tabs>
        <w:spacing w:after="0" w:line="440" w:lineRule="exact"/>
        <w:ind w:left="709"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项目组成员一览表及证明材料</w:t>
      </w:r>
    </w:p>
    <w:p w14:paraId="75E89E86">
      <w:pPr>
        <w:widowControl w:val="0"/>
        <w:numPr>
          <w:ilvl w:val="0"/>
          <w:numId w:val="60"/>
        </w:numPr>
        <w:tabs>
          <w:tab w:val="left" w:pos="851"/>
        </w:tabs>
        <w:spacing w:after="0" w:line="440" w:lineRule="exact"/>
        <w:ind w:left="709"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类似项目业绩表及证明材料</w:t>
      </w:r>
    </w:p>
    <w:p w14:paraId="52A10F22">
      <w:pPr>
        <w:widowControl w:val="0"/>
        <w:numPr>
          <w:ilvl w:val="0"/>
          <w:numId w:val="60"/>
        </w:numPr>
        <w:tabs>
          <w:tab w:val="left" w:pos="851"/>
        </w:tabs>
        <w:spacing w:after="0" w:line="440" w:lineRule="exact"/>
        <w:ind w:left="709"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技术、服务及商务文件</w:t>
      </w:r>
    </w:p>
    <w:p w14:paraId="45D472FB">
      <w:pPr>
        <w:widowControl w:val="0"/>
        <w:numPr>
          <w:ilvl w:val="0"/>
          <w:numId w:val="60"/>
        </w:numPr>
        <w:tabs>
          <w:tab w:val="left" w:pos="851"/>
        </w:tabs>
        <w:spacing w:after="0" w:line="440" w:lineRule="exact"/>
        <w:ind w:left="709"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技术、服务及商务要求响应、偏离说明表</w:t>
      </w:r>
    </w:p>
    <w:p w14:paraId="0B3152AD">
      <w:pPr>
        <w:tabs>
          <w:tab w:val="left" w:pos="709"/>
        </w:tabs>
        <w:spacing w:after="0" w:line="440" w:lineRule="exact"/>
        <w:rPr>
          <w:rFonts w:hint="eastAsia" w:ascii="宋体" w:hAnsi="宋体" w:cs="宋体"/>
          <w:color w:val="auto"/>
          <w:sz w:val="24"/>
          <w:szCs w:val="24"/>
          <w:highlight w:val="none"/>
        </w:rPr>
      </w:pPr>
    </w:p>
    <w:p w14:paraId="35029689">
      <w:pPr>
        <w:tabs>
          <w:tab w:val="left" w:pos="851"/>
        </w:tabs>
        <w:spacing w:after="0"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注：</w:t>
      </w:r>
    </w:p>
    <w:p w14:paraId="3C9D503D">
      <w:pPr>
        <w:tabs>
          <w:tab w:val="left" w:pos="851"/>
        </w:tabs>
        <w:spacing w:after="0" w:line="440" w:lineRule="exact"/>
        <w:ind w:left="220" w:leftChars="100"/>
        <w:rPr>
          <w:rFonts w:hint="eastAsia" w:ascii="宋体" w:hAnsi="宋体" w:cs="宋体"/>
          <w:color w:val="auto"/>
          <w:sz w:val="24"/>
          <w:szCs w:val="24"/>
          <w:highlight w:val="none"/>
        </w:rPr>
      </w:pPr>
      <w:r>
        <w:rPr>
          <w:rFonts w:hint="eastAsia" w:ascii="宋体" w:hAnsi="宋体" w:cs="宋体"/>
          <w:color w:val="auto"/>
          <w:sz w:val="24"/>
          <w:szCs w:val="24"/>
          <w:highlight w:val="none"/>
        </w:rPr>
        <w:t>1、根据参考格式要求自行编写，应目录清晰、内容详尽、易于理解。</w:t>
      </w:r>
    </w:p>
    <w:p w14:paraId="7B2FDBCA">
      <w:pPr>
        <w:tabs>
          <w:tab w:val="left" w:pos="851"/>
        </w:tabs>
        <w:spacing w:after="0" w:line="440" w:lineRule="exact"/>
        <w:ind w:left="220" w:leftChars="100"/>
        <w:rPr>
          <w:rFonts w:hint="eastAsia" w:ascii="宋体" w:hAnsi="宋体" w:cs="宋体"/>
          <w:color w:val="auto"/>
          <w:sz w:val="24"/>
          <w:szCs w:val="24"/>
          <w:highlight w:val="none"/>
        </w:rPr>
      </w:pPr>
      <w:r>
        <w:rPr>
          <w:rFonts w:hint="eastAsia" w:ascii="宋体" w:hAnsi="宋体" w:cs="宋体"/>
          <w:color w:val="auto"/>
          <w:sz w:val="24"/>
          <w:szCs w:val="24"/>
          <w:highlight w:val="none"/>
        </w:rPr>
        <w:t>2、未限定格式的由供应商根据实际情况自行编制。</w:t>
      </w:r>
    </w:p>
    <w:p w14:paraId="0436BC8B">
      <w:pPr>
        <w:spacing w:line="440" w:lineRule="exact"/>
        <w:rPr>
          <w:rFonts w:hint="eastAsia" w:ascii="宋体" w:hAnsi="宋体" w:cs="宋体"/>
          <w:color w:val="auto"/>
          <w:sz w:val="24"/>
          <w:szCs w:val="24"/>
          <w:highlight w:val="none"/>
        </w:rPr>
      </w:pPr>
    </w:p>
    <w:p w14:paraId="3E882BED">
      <w:pPr>
        <w:spacing w:after="0" w:line="440" w:lineRule="exact"/>
        <w:rPr>
          <w:rFonts w:hint="eastAsia" w:ascii="宋体" w:hAnsi="宋体" w:cs="宋体"/>
          <w:b/>
          <w:color w:val="auto"/>
          <w:sz w:val="24"/>
          <w:szCs w:val="24"/>
          <w:highlight w:val="none"/>
        </w:rPr>
      </w:pPr>
      <w:bookmarkStart w:id="160" w:name="_Toc494665001"/>
      <w:bookmarkStart w:id="161" w:name="_Toc494721101"/>
      <w:bookmarkStart w:id="162" w:name="_Toc236473298"/>
      <w:bookmarkStart w:id="163" w:name="_Toc494665951"/>
      <w:bookmarkStart w:id="164" w:name="_Toc238276242"/>
      <w:bookmarkStart w:id="165" w:name="_Toc494702271"/>
      <w:bookmarkStart w:id="166" w:name="_Toc494745318"/>
      <w:bookmarkStart w:id="167" w:name="_Toc494665554"/>
      <w:r>
        <w:rPr>
          <w:rFonts w:hint="eastAsia" w:ascii="宋体" w:hAnsi="宋体" w:cs="宋体"/>
          <w:b/>
          <w:color w:val="auto"/>
          <w:sz w:val="24"/>
          <w:szCs w:val="24"/>
          <w:highlight w:val="none"/>
        </w:rPr>
        <w:br w:type="page"/>
      </w:r>
    </w:p>
    <w:p w14:paraId="00FFFA67">
      <w:pPr>
        <w:numPr>
          <w:ilvl w:val="0"/>
          <w:numId w:val="61"/>
        </w:numPr>
        <w:tabs>
          <w:tab w:val="left" w:pos="426"/>
        </w:tabs>
        <w:spacing w:after="0" w:line="440" w:lineRule="exact"/>
        <w:ind w:left="0" w:firstLine="0"/>
        <w:contextualSpacing/>
        <w:jc w:val="both"/>
        <w:outlineLvl w:val="1"/>
        <w:rPr>
          <w:rFonts w:hint="eastAsia" w:ascii="宋体" w:hAnsi="宋体" w:cs="宋体"/>
          <w:b/>
          <w:color w:val="auto"/>
          <w:sz w:val="24"/>
          <w:szCs w:val="24"/>
          <w:highlight w:val="none"/>
        </w:rPr>
      </w:pPr>
      <w:r>
        <w:rPr>
          <w:rFonts w:hint="eastAsia" w:ascii="宋体" w:hAnsi="宋体" w:cs="宋体"/>
          <w:color w:val="auto"/>
          <w:sz w:val="24"/>
          <w:szCs w:val="24"/>
          <w:highlight w:val="none"/>
        </w:rPr>
        <w:t>磋商书</w:t>
      </w:r>
    </w:p>
    <w:p w14:paraId="6140B064">
      <w:pPr>
        <w:spacing w:line="44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磋商书</w:t>
      </w:r>
      <w:bookmarkEnd w:id="160"/>
      <w:bookmarkEnd w:id="161"/>
      <w:bookmarkEnd w:id="162"/>
      <w:bookmarkEnd w:id="163"/>
      <w:bookmarkEnd w:id="164"/>
      <w:bookmarkEnd w:id="165"/>
      <w:bookmarkEnd w:id="166"/>
      <w:bookmarkEnd w:id="167"/>
    </w:p>
    <w:p w14:paraId="5DA633ED">
      <w:pPr>
        <w:spacing w:after="0"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湖北国华项目管理咨询有限公司</w:t>
      </w:r>
      <w:r>
        <w:rPr>
          <w:rFonts w:hint="eastAsia" w:ascii="宋体" w:hAnsi="宋体" w:cs="宋体"/>
          <w:color w:val="auto"/>
          <w:sz w:val="24"/>
          <w:szCs w:val="24"/>
          <w:highlight w:val="none"/>
        </w:rPr>
        <w:t>：</w:t>
      </w:r>
    </w:p>
    <w:p w14:paraId="246E43EE">
      <w:pPr>
        <w:spacing w:after="0" w:line="440" w:lineRule="exact"/>
        <w:ind w:firstLine="480" w:firstLineChars="200"/>
        <w:rPr>
          <w:rFonts w:hint="eastAsia" w:ascii="宋体" w:hAnsi="宋体" w:cs="宋体"/>
          <w:color w:val="auto"/>
          <w:sz w:val="24"/>
          <w:szCs w:val="24"/>
          <w:highlight w:val="none"/>
        </w:rPr>
      </w:pPr>
    </w:p>
    <w:p w14:paraId="10E470D8">
      <w:pPr>
        <w:spacing w:after="0" w:line="440" w:lineRule="exact"/>
        <w:ind w:firstLine="480" w:firstLineChars="200"/>
        <w:jc w:val="both"/>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依据贵方___</w:t>
      </w:r>
      <w:r>
        <w:rPr>
          <w:rFonts w:hint="eastAsia" w:ascii="宋体" w:hAnsi="宋体" w:cs="宋体"/>
          <w:color w:val="auto"/>
          <w:kern w:val="2"/>
          <w:sz w:val="24"/>
          <w:szCs w:val="24"/>
          <w:highlight w:val="none"/>
          <w:u w:val="single"/>
        </w:rPr>
        <w:t xml:space="preserve">      _</w:t>
      </w:r>
      <w:r>
        <w:rPr>
          <w:rFonts w:hint="eastAsia" w:ascii="宋体" w:hAnsi="宋体" w:cs="宋体"/>
          <w:color w:val="auto"/>
          <w:kern w:val="2"/>
          <w:sz w:val="24"/>
          <w:szCs w:val="24"/>
          <w:highlight w:val="none"/>
        </w:rPr>
        <w:t>项目（项目编号：____</w:t>
      </w:r>
      <w:r>
        <w:rPr>
          <w:rFonts w:hint="eastAsia" w:ascii="宋体" w:hAnsi="宋体" w:cs="宋体"/>
          <w:color w:val="auto"/>
          <w:kern w:val="2"/>
          <w:sz w:val="24"/>
          <w:szCs w:val="24"/>
          <w:highlight w:val="none"/>
          <w:u w:val="single"/>
        </w:rPr>
        <w:t xml:space="preserve">   </w:t>
      </w:r>
      <w:r>
        <w:rPr>
          <w:rFonts w:hint="eastAsia" w:ascii="宋体" w:hAnsi="宋体" w:cs="宋体"/>
          <w:color w:val="auto"/>
          <w:kern w:val="2"/>
          <w:sz w:val="24"/>
          <w:szCs w:val="24"/>
          <w:highlight w:val="none"/>
        </w:rPr>
        <w:t>_）磋商公告，我方代表</w:t>
      </w:r>
      <w:r>
        <w:rPr>
          <w:rFonts w:hint="eastAsia" w:ascii="宋体" w:hAnsi="宋体" w:cs="宋体"/>
          <w:color w:val="auto"/>
          <w:kern w:val="2"/>
          <w:sz w:val="24"/>
          <w:szCs w:val="24"/>
          <w:highlight w:val="none"/>
          <w:u w:val="single"/>
        </w:rPr>
        <w:t xml:space="preserve">         </w:t>
      </w:r>
      <w:r>
        <w:rPr>
          <w:rFonts w:hint="eastAsia" w:ascii="宋体" w:hAnsi="宋体" w:cs="宋体"/>
          <w:color w:val="auto"/>
          <w:kern w:val="2"/>
          <w:sz w:val="24"/>
          <w:szCs w:val="24"/>
          <w:highlight w:val="none"/>
        </w:rPr>
        <w:t>（姓名、职务）经正式授权并代表供应商</w:t>
      </w:r>
      <w:r>
        <w:rPr>
          <w:rFonts w:hint="eastAsia" w:ascii="宋体" w:hAnsi="宋体" w:cs="宋体"/>
          <w:color w:val="auto"/>
          <w:kern w:val="2"/>
          <w:sz w:val="24"/>
          <w:szCs w:val="24"/>
          <w:highlight w:val="none"/>
          <w:u w:val="single"/>
        </w:rPr>
        <w:t xml:space="preserve">         </w:t>
      </w:r>
      <w:r>
        <w:rPr>
          <w:rFonts w:hint="eastAsia" w:ascii="宋体" w:hAnsi="宋体" w:cs="宋体"/>
          <w:color w:val="auto"/>
          <w:kern w:val="2"/>
          <w:sz w:val="24"/>
          <w:szCs w:val="24"/>
          <w:highlight w:val="none"/>
        </w:rPr>
        <w:t>（供应商名称）提交本响应文件。</w:t>
      </w:r>
    </w:p>
    <w:p w14:paraId="567CE589">
      <w:pPr>
        <w:spacing w:after="0" w:line="440" w:lineRule="exact"/>
        <w:ind w:firstLine="480" w:firstLineChars="200"/>
        <w:jc w:val="both"/>
        <w:rPr>
          <w:rFonts w:hint="eastAsia" w:ascii="宋体" w:hAnsi="宋体" w:cs="宋体"/>
          <w:b/>
          <w:color w:val="auto"/>
          <w:kern w:val="2"/>
          <w:sz w:val="24"/>
          <w:szCs w:val="24"/>
          <w:highlight w:val="none"/>
        </w:rPr>
      </w:pPr>
      <w:r>
        <w:rPr>
          <w:rFonts w:hint="eastAsia" w:ascii="宋体" w:hAnsi="宋体" w:cs="宋体"/>
          <w:b/>
          <w:color w:val="auto"/>
          <w:kern w:val="2"/>
          <w:sz w:val="24"/>
          <w:szCs w:val="24"/>
          <w:highlight w:val="none"/>
        </w:rPr>
        <w:t>在此，我方宣布同意如下：</w:t>
      </w:r>
    </w:p>
    <w:p w14:paraId="7920674F">
      <w:pPr>
        <w:spacing w:after="0" w:line="440" w:lineRule="exact"/>
        <w:ind w:left="13" w:leftChars="6" w:firstLine="472" w:firstLineChars="197"/>
        <w:jc w:val="both"/>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1．《报价一览表》中规定的应提交和交付的</w:t>
      </w:r>
      <w:r>
        <w:rPr>
          <w:rFonts w:hint="eastAsia" w:ascii="宋体" w:hAnsi="宋体" w:cs="宋体"/>
          <w:color w:val="auto"/>
          <w:kern w:val="2"/>
          <w:sz w:val="24"/>
          <w:szCs w:val="24"/>
          <w:highlight w:val="none"/>
          <w:u w:val="single"/>
        </w:rPr>
        <w:t xml:space="preserve">            </w:t>
      </w:r>
      <w:r>
        <w:rPr>
          <w:rFonts w:hint="eastAsia" w:ascii="宋体" w:hAnsi="宋体" w:cs="宋体"/>
          <w:color w:val="auto"/>
          <w:kern w:val="2"/>
          <w:sz w:val="24"/>
          <w:szCs w:val="24"/>
          <w:highlight w:val="none"/>
        </w:rPr>
        <w:t>（项目编号）服务（工程或货物）报价为</w:t>
      </w:r>
      <w:r>
        <w:rPr>
          <w:rFonts w:hint="eastAsia" w:ascii="宋体" w:hAnsi="宋体" w:cs="宋体"/>
          <w:color w:val="auto"/>
          <w:kern w:val="2"/>
          <w:sz w:val="24"/>
          <w:szCs w:val="24"/>
          <w:highlight w:val="none"/>
          <w:u w:val="single"/>
        </w:rPr>
        <w:t xml:space="preserve">            </w:t>
      </w:r>
      <w:r>
        <w:rPr>
          <w:rFonts w:hint="eastAsia" w:ascii="宋体" w:hAnsi="宋体" w:cs="宋体"/>
          <w:color w:val="auto"/>
          <w:kern w:val="2"/>
          <w:sz w:val="24"/>
          <w:szCs w:val="24"/>
          <w:highlight w:val="none"/>
        </w:rPr>
        <w:t>（注明币种，并用大写和小写表述报价）；</w:t>
      </w:r>
    </w:p>
    <w:p w14:paraId="03399D19">
      <w:pPr>
        <w:spacing w:after="0" w:line="440" w:lineRule="exact"/>
        <w:ind w:left="13" w:leftChars="6" w:firstLine="472" w:firstLineChars="197"/>
        <w:jc w:val="both"/>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2．按采购文件的约定履行合同责任和义务；</w:t>
      </w:r>
    </w:p>
    <w:p w14:paraId="55D6BE94">
      <w:pPr>
        <w:spacing w:after="0" w:line="440" w:lineRule="exact"/>
        <w:ind w:left="13" w:leftChars="6" w:firstLine="472" w:firstLineChars="197"/>
        <w:jc w:val="both"/>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3．已详细审查全部采购文件，包括修正或补充文件（如有），对此无异议；</w:t>
      </w:r>
    </w:p>
    <w:p w14:paraId="0BEA65CE">
      <w:pPr>
        <w:spacing w:after="0" w:line="440" w:lineRule="exact"/>
        <w:ind w:left="13" w:leftChars="6" w:firstLine="472" w:firstLineChars="197"/>
        <w:jc w:val="both"/>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4．响应有效期为自递交响应文件截止之日起，共</w:t>
      </w:r>
      <w:r>
        <w:rPr>
          <w:rFonts w:hint="eastAsia" w:ascii="宋体" w:hAnsi="宋体" w:cs="宋体"/>
          <w:color w:val="auto"/>
          <w:kern w:val="2"/>
          <w:sz w:val="24"/>
          <w:szCs w:val="24"/>
          <w:highlight w:val="none"/>
          <w:u w:val="single"/>
        </w:rPr>
        <w:t xml:space="preserve"> 90 </w:t>
      </w:r>
      <w:r>
        <w:rPr>
          <w:rFonts w:hint="eastAsia" w:ascii="宋体" w:hAnsi="宋体" w:cs="宋体"/>
          <w:color w:val="auto"/>
          <w:kern w:val="2"/>
          <w:sz w:val="24"/>
          <w:szCs w:val="24"/>
          <w:highlight w:val="none"/>
        </w:rPr>
        <w:t>个日历日；</w:t>
      </w:r>
    </w:p>
    <w:p w14:paraId="33A6096A">
      <w:pPr>
        <w:spacing w:after="0" w:line="440" w:lineRule="exact"/>
        <w:ind w:left="13" w:leftChars="6" w:firstLine="472" w:firstLineChars="197"/>
        <w:jc w:val="both"/>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5．接受采购文件关于不予退还磋商保证金的约定；</w:t>
      </w:r>
    </w:p>
    <w:p w14:paraId="4FF330C7">
      <w:pPr>
        <w:spacing w:after="0" w:line="440" w:lineRule="exact"/>
        <w:ind w:left="13" w:leftChars="6" w:firstLine="472" w:firstLineChars="197"/>
        <w:jc w:val="both"/>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6．提供按照贵方可能要求的与项目有关的一切数据或资料；</w:t>
      </w:r>
    </w:p>
    <w:p w14:paraId="783D3C51">
      <w:pPr>
        <w:spacing w:after="0" w:line="440" w:lineRule="exact"/>
        <w:ind w:left="13" w:leftChars="6" w:firstLine="472" w:firstLineChars="197"/>
        <w:rPr>
          <w:rFonts w:hint="eastAsia" w:ascii="宋体" w:hAnsi="宋体" w:cs="宋体"/>
          <w:color w:val="auto"/>
          <w:sz w:val="24"/>
          <w:szCs w:val="24"/>
          <w:highlight w:val="none"/>
        </w:rPr>
      </w:pPr>
      <w:r>
        <w:rPr>
          <w:rFonts w:hint="eastAsia" w:ascii="宋体" w:hAnsi="宋体" w:cs="宋体"/>
          <w:color w:val="auto"/>
          <w:kern w:val="2"/>
          <w:sz w:val="24"/>
          <w:szCs w:val="24"/>
          <w:highlight w:val="none"/>
        </w:rPr>
        <w:t>7．与磋商有关的一切正式往来信函请寄：</w:t>
      </w:r>
    </w:p>
    <w:p w14:paraId="41ADC8F3">
      <w:pPr>
        <w:spacing w:after="0" w:line="440" w:lineRule="exact"/>
        <w:ind w:left="233" w:leftChars="106" w:firstLine="472" w:firstLineChars="197"/>
        <w:rPr>
          <w:rFonts w:hint="eastAsia" w:ascii="宋体" w:hAnsi="宋体" w:cs="宋体"/>
          <w:color w:val="auto"/>
          <w:sz w:val="24"/>
          <w:szCs w:val="24"/>
          <w:highlight w:val="none"/>
        </w:rPr>
      </w:pPr>
      <w:r>
        <w:rPr>
          <w:rFonts w:hint="eastAsia" w:ascii="宋体" w:hAnsi="宋体" w:cs="宋体"/>
          <w:color w:val="auto"/>
          <w:sz w:val="24"/>
          <w:szCs w:val="24"/>
          <w:highlight w:val="none"/>
        </w:rPr>
        <w:t>供应商：</w:t>
      </w:r>
      <w:r>
        <w:rPr>
          <w:rFonts w:hint="eastAsia" w:ascii="宋体" w:hAnsi="宋体" w:cs="宋体"/>
          <w:color w:val="auto"/>
          <w:sz w:val="24"/>
          <w:szCs w:val="24"/>
          <w:highlight w:val="none"/>
          <w:u w:val="single"/>
        </w:rPr>
        <w:t xml:space="preserve">                               </w:t>
      </w:r>
    </w:p>
    <w:p w14:paraId="05E5BF93">
      <w:pPr>
        <w:spacing w:after="0" w:line="440" w:lineRule="exact"/>
        <w:ind w:left="233" w:leftChars="106" w:firstLine="472" w:firstLineChars="197"/>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 xml:space="preserve">                               </w:t>
      </w:r>
    </w:p>
    <w:p w14:paraId="24141FFC">
      <w:pPr>
        <w:spacing w:after="0" w:line="440" w:lineRule="exact"/>
        <w:ind w:left="233" w:leftChars="106" w:firstLine="472" w:firstLineChars="197"/>
        <w:rPr>
          <w:rFonts w:hint="eastAsia" w:ascii="宋体" w:hAnsi="宋体" w:cs="宋体"/>
          <w:color w:val="auto"/>
          <w:sz w:val="24"/>
          <w:szCs w:val="24"/>
          <w:highlight w:val="none"/>
        </w:rPr>
      </w:pPr>
      <w:r>
        <w:rPr>
          <w:rFonts w:hint="eastAsia" w:ascii="宋体" w:hAnsi="宋体" w:cs="宋体"/>
          <w:color w:val="auto"/>
          <w:sz w:val="24"/>
          <w:szCs w:val="24"/>
          <w:highlight w:val="none"/>
        </w:rPr>
        <w:t>电话/传真：</w:t>
      </w:r>
      <w:r>
        <w:rPr>
          <w:rFonts w:hint="eastAsia" w:ascii="宋体" w:hAnsi="宋体" w:cs="宋体"/>
          <w:color w:val="auto"/>
          <w:sz w:val="24"/>
          <w:szCs w:val="24"/>
          <w:highlight w:val="none"/>
          <w:u w:val="single"/>
        </w:rPr>
        <w:t xml:space="preserve">                            </w:t>
      </w:r>
    </w:p>
    <w:p w14:paraId="529CDDF7">
      <w:pPr>
        <w:spacing w:after="0" w:line="440" w:lineRule="exact"/>
        <w:ind w:left="233" w:leftChars="106" w:firstLine="472" w:firstLineChars="197"/>
        <w:rPr>
          <w:rFonts w:hint="eastAsia" w:ascii="宋体" w:hAnsi="宋体" w:cs="宋体"/>
          <w:color w:val="auto"/>
          <w:sz w:val="24"/>
          <w:szCs w:val="24"/>
          <w:highlight w:val="none"/>
        </w:rPr>
      </w:pPr>
      <w:r>
        <w:rPr>
          <w:rFonts w:hint="eastAsia" w:ascii="宋体" w:hAnsi="宋体" w:cs="宋体"/>
          <w:color w:val="auto"/>
          <w:sz w:val="24"/>
          <w:szCs w:val="24"/>
          <w:highlight w:val="none"/>
        </w:rPr>
        <w:t>电子邮件：</w:t>
      </w:r>
      <w:r>
        <w:rPr>
          <w:rFonts w:hint="eastAsia" w:ascii="宋体" w:hAnsi="宋体" w:cs="宋体"/>
          <w:color w:val="auto"/>
          <w:sz w:val="24"/>
          <w:szCs w:val="24"/>
          <w:highlight w:val="none"/>
          <w:u w:val="single"/>
        </w:rPr>
        <w:t xml:space="preserve">                             </w:t>
      </w:r>
    </w:p>
    <w:p w14:paraId="41437BBD">
      <w:pPr>
        <w:spacing w:after="0" w:line="440" w:lineRule="exact"/>
        <w:ind w:left="233" w:leftChars="106" w:firstLine="472" w:firstLineChars="197"/>
        <w:rPr>
          <w:rFonts w:hint="eastAsia" w:ascii="宋体" w:hAnsi="宋体" w:cs="宋体"/>
          <w:color w:val="auto"/>
          <w:sz w:val="24"/>
          <w:szCs w:val="24"/>
          <w:highlight w:val="none"/>
        </w:rPr>
      </w:pPr>
      <w:r>
        <w:rPr>
          <w:rFonts w:hint="eastAsia" w:ascii="宋体" w:hAnsi="宋体" w:cs="宋体"/>
          <w:color w:val="auto"/>
          <w:sz w:val="24"/>
          <w:szCs w:val="24"/>
          <w:highlight w:val="none"/>
        </w:rPr>
        <w:t>开户银行：</w:t>
      </w:r>
      <w:r>
        <w:rPr>
          <w:rFonts w:hint="eastAsia" w:ascii="宋体" w:hAnsi="宋体" w:cs="宋体"/>
          <w:color w:val="auto"/>
          <w:sz w:val="24"/>
          <w:szCs w:val="24"/>
          <w:highlight w:val="none"/>
          <w:u w:val="single"/>
        </w:rPr>
        <w:t xml:space="preserve">                             </w:t>
      </w:r>
    </w:p>
    <w:p w14:paraId="54CABA14">
      <w:pPr>
        <w:spacing w:after="0" w:line="440" w:lineRule="exact"/>
        <w:ind w:left="233" w:leftChars="106" w:firstLine="472" w:firstLineChars="197"/>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账号/行号：</w:t>
      </w:r>
      <w:r>
        <w:rPr>
          <w:rFonts w:hint="eastAsia" w:ascii="宋体" w:hAnsi="宋体" w:cs="宋体"/>
          <w:color w:val="auto"/>
          <w:sz w:val="24"/>
          <w:szCs w:val="24"/>
          <w:highlight w:val="none"/>
          <w:u w:val="single"/>
        </w:rPr>
        <w:t xml:space="preserve">                            </w:t>
      </w:r>
    </w:p>
    <w:p w14:paraId="3315FE08">
      <w:pPr>
        <w:spacing w:after="0" w:line="440" w:lineRule="exact"/>
        <w:ind w:left="2653" w:leftChars="1206" w:firstLine="472" w:firstLineChars="197"/>
        <w:rPr>
          <w:rFonts w:hint="eastAsia" w:ascii="宋体" w:hAnsi="宋体" w:cs="宋体"/>
          <w:color w:val="auto"/>
          <w:sz w:val="24"/>
          <w:szCs w:val="24"/>
          <w:highlight w:val="none"/>
        </w:rPr>
      </w:pPr>
    </w:p>
    <w:p w14:paraId="3626C4DE">
      <w:pPr>
        <w:spacing w:after="0" w:line="440" w:lineRule="exact"/>
        <w:ind w:firstLine="3316" w:firstLineChars="1382"/>
        <w:rPr>
          <w:rFonts w:hint="eastAsia" w:ascii="宋体" w:hAnsi="宋体" w:cs="宋体"/>
          <w:bCs/>
          <w:color w:val="auto"/>
          <w:sz w:val="24"/>
          <w:szCs w:val="24"/>
          <w:highlight w:val="none"/>
          <w:u w:val="single"/>
          <w:lang w:val="zh-CN"/>
        </w:rPr>
      </w:pPr>
      <w:r>
        <w:rPr>
          <w:rFonts w:hint="eastAsia" w:ascii="宋体" w:hAnsi="宋体" w:cs="宋体"/>
          <w:bCs/>
          <w:color w:val="auto"/>
          <w:sz w:val="24"/>
          <w:szCs w:val="24"/>
          <w:highlight w:val="none"/>
          <w:lang w:val="zh-CN"/>
        </w:rPr>
        <w:t>供应商名称（公章）：</w:t>
      </w:r>
      <w:r>
        <w:rPr>
          <w:rFonts w:hint="eastAsia" w:ascii="宋体" w:hAnsi="宋体" w:cs="宋体"/>
          <w:bCs/>
          <w:color w:val="auto"/>
          <w:sz w:val="24"/>
          <w:szCs w:val="24"/>
          <w:highlight w:val="none"/>
          <w:u w:val="single"/>
          <w:lang w:val="zh-CN"/>
        </w:rPr>
        <w:t xml:space="preserve">                         </w:t>
      </w:r>
    </w:p>
    <w:p w14:paraId="158FE87A">
      <w:pPr>
        <w:spacing w:after="0" w:line="440" w:lineRule="exact"/>
        <w:ind w:firstLine="3316" w:firstLineChars="1382"/>
        <w:rPr>
          <w:rFonts w:hint="eastAsia" w:ascii="宋体" w:hAnsi="宋体" w:cs="宋体"/>
          <w:b/>
          <w:bCs/>
          <w:color w:val="auto"/>
          <w:sz w:val="24"/>
          <w:szCs w:val="24"/>
          <w:highlight w:val="none"/>
          <w:u w:val="single"/>
          <w:lang w:val="zh-CN"/>
        </w:rPr>
      </w:pPr>
      <w:r>
        <w:rPr>
          <w:rFonts w:hint="eastAsia" w:ascii="宋体" w:hAnsi="宋体" w:cs="宋体"/>
          <w:bCs/>
          <w:color w:val="auto"/>
          <w:sz w:val="24"/>
          <w:szCs w:val="24"/>
          <w:highlight w:val="none"/>
          <w:lang w:val="zh-CN"/>
        </w:rPr>
        <w:t>授权代表：</w:t>
      </w:r>
      <w:r>
        <w:rPr>
          <w:rFonts w:hint="eastAsia" w:ascii="宋体" w:hAnsi="宋体" w:cs="宋体"/>
          <w:bCs/>
          <w:color w:val="auto"/>
          <w:sz w:val="24"/>
          <w:szCs w:val="24"/>
          <w:highlight w:val="none"/>
          <w:u w:val="single"/>
          <w:lang w:val="zh-CN"/>
        </w:rPr>
        <w:t xml:space="preserve">                  </w:t>
      </w:r>
    </w:p>
    <w:p w14:paraId="20692AAB">
      <w:pPr>
        <w:spacing w:after="0" w:line="440" w:lineRule="exact"/>
        <w:ind w:firstLine="3360" w:firstLineChars="1400"/>
        <w:rPr>
          <w:rFonts w:hint="eastAsia" w:ascii="宋体" w:hAnsi="宋体" w:cs="宋体"/>
          <w:color w:val="auto"/>
          <w:sz w:val="24"/>
          <w:szCs w:val="24"/>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42D6E27B">
      <w:pPr>
        <w:spacing w:line="440" w:lineRule="exact"/>
        <w:ind w:left="2653" w:leftChars="1206" w:firstLine="472" w:firstLineChars="197"/>
        <w:rPr>
          <w:rFonts w:hint="eastAsia" w:ascii="宋体" w:hAnsi="宋体" w:cs="宋体"/>
          <w:color w:val="auto"/>
          <w:sz w:val="24"/>
          <w:szCs w:val="24"/>
          <w:highlight w:val="none"/>
        </w:rPr>
      </w:pPr>
    </w:p>
    <w:p w14:paraId="6DF45B26">
      <w:pPr>
        <w:numPr>
          <w:ilvl w:val="0"/>
          <w:numId w:val="61"/>
        </w:numPr>
        <w:tabs>
          <w:tab w:val="left" w:pos="426"/>
        </w:tabs>
        <w:spacing w:after="0" w:line="440" w:lineRule="exact"/>
        <w:ind w:left="0" w:firstLine="0"/>
        <w:contextualSpacing/>
        <w:jc w:val="both"/>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响应承诺书</w:t>
      </w:r>
    </w:p>
    <w:p w14:paraId="7AE0C314">
      <w:pPr>
        <w:spacing w:after="0" w:line="40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响应承诺书</w:t>
      </w:r>
    </w:p>
    <w:p w14:paraId="2C717116">
      <w:pPr>
        <w:spacing w:after="0"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武汉市东湖生态旅游风景区自然资源局、湖北国华项目管理咨询有限公司</w:t>
      </w:r>
      <w:r>
        <w:rPr>
          <w:rFonts w:hint="eastAsia" w:ascii="宋体" w:hAnsi="宋体" w:cs="宋体"/>
          <w:color w:val="auto"/>
          <w:sz w:val="24"/>
          <w:szCs w:val="24"/>
          <w:highlight w:val="none"/>
        </w:rPr>
        <w:t>：</w:t>
      </w:r>
    </w:p>
    <w:p w14:paraId="2625A8D4">
      <w:pPr>
        <w:tabs>
          <w:tab w:val="center" w:pos="4153"/>
          <w:tab w:val="right" w:pos="8306"/>
        </w:tabs>
        <w:snapToGrid w:val="0"/>
        <w:spacing w:after="0"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为了充分体现公开、公平、公正、诚信原则，共同维护招标采购市场秩序，本单位在参与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项目过程中特作以下承诺：</w:t>
      </w:r>
    </w:p>
    <w:p w14:paraId="0CAB477B">
      <w:pPr>
        <w:tabs>
          <w:tab w:val="center" w:pos="4153"/>
          <w:tab w:val="right" w:pos="8306"/>
        </w:tabs>
        <w:snapToGrid w:val="0"/>
        <w:spacing w:after="0"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（一）承诺履行采购文件要求的责任和义务，承诺遵守法律法规，承诺真实响应，承诺不围标串标，承诺不弄虚作假、造假用假。</w:t>
      </w:r>
    </w:p>
    <w:p w14:paraId="1755984A">
      <w:pPr>
        <w:tabs>
          <w:tab w:val="center" w:pos="4153"/>
          <w:tab w:val="right" w:pos="8306"/>
        </w:tabs>
        <w:snapToGrid w:val="0"/>
        <w:spacing w:after="0"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（二）承诺我公司提交的营业执照、资质证书、许可证等资格证明文件，以及拟派本项目的项目经理、技术负责人及其他相关人员的证照、社保等材料真实、有效。</w:t>
      </w:r>
    </w:p>
    <w:p w14:paraId="06ADA64F">
      <w:pPr>
        <w:tabs>
          <w:tab w:val="center" w:pos="4153"/>
          <w:tab w:val="right" w:pos="8306"/>
        </w:tabs>
        <w:snapToGrid w:val="0"/>
        <w:spacing w:after="0"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（三）不相互串通，不排挤其他竞争对手，损害采购人或其他供应商的利益。</w:t>
      </w:r>
    </w:p>
    <w:p w14:paraId="7F0226C5">
      <w:pPr>
        <w:tabs>
          <w:tab w:val="center" w:pos="4153"/>
          <w:tab w:val="right" w:pos="8306"/>
        </w:tabs>
        <w:snapToGrid w:val="0"/>
        <w:spacing w:after="0"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（四）不以任何形式和手段打听搜集评审情况，干扰评审工作、干扰采购人做出正确判断。</w:t>
      </w:r>
    </w:p>
    <w:p w14:paraId="1364A48B">
      <w:pPr>
        <w:tabs>
          <w:tab w:val="center" w:pos="4153"/>
          <w:tab w:val="right" w:pos="8306"/>
        </w:tabs>
        <w:snapToGrid w:val="0"/>
        <w:spacing w:after="0"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（五）不以低于成本价报价竞标，不以弄虚作假等其他方式骗取成交，不以向采购人或者评审人员请客、送礼、行贿等不正当手段谋取成交。</w:t>
      </w:r>
    </w:p>
    <w:p w14:paraId="2CD27C81">
      <w:pPr>
        <w:tabs>
          <w:tab w:val="center" w:pos="4153"/>
          <w:tab w:val="right" w:pos="8306"/>
        </w:tabs>
        <w:snapToGrid w:val="0"/>
        <w:spacing w:after="0"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（六）我公司成交后，承诺履行(合同)的要求，承诺拟派本项目的项目经理（仅适用于工程项目中注册建造师）在该项目竣工或完成前不参加其他项目招标采购活动。</w:t>
      </w:r>
    </w:p>
    <w:p w14:paraId="66426409">
      <w:pPr>
        <w:tabs>
          <w:tab w:val="center" w:pos="4153"/>
          <w:tab w:val="right" w:pos="8306"/>
        </w:tabs>
        <w:snapToGrid w:val="0"/>
        <w:spacing w:after="0"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（七）我公司不存在单位负责人为同一人或者存在直接控股、管理关系的不同供应商，参加本项目政府采购活动的情况。</w:t>
      </w:r>
    </w:p>
    <w:p w14:paraId="02D36724">
      <w:pPr>
        <w:tabs>
          <w:tab w:val="center" w:pos="4153"/>
          <w:tab w:val="right" w:pos="8306"/>
        </w:tabs>
        <w:snapToGrid w:val="0"/>
        <w:spacing w:after="0"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（八）我公司前期没有为本项目提供过整体设计、规范编制或者项目管理、监理、检测等服务。</w:t>
      </w:r>
    </w:p>
    <w:p w14:paraId="68459908">
      <w:pPr>
        <w:tabs>
          <w:tab w:val="center" w:pos="4153"/>
          <w:tab w:val="right" w:pos="8306"/>
        </w:tabs>
        <w:snapToGrid w:val="0"/>
        <w:spacing w:after="0"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九）我公司若有幸成为本项目的成交供应商，则我公司承诺按照采购文件及成交结果公告规定的方式、时间和金额向采购代理机构交纳代理服务费。如逾期未交，采购人及采购代理机构有权将我公司上报至政府采购监管部门，并承担被列入政府采购失信行为名单之风险。</w:t>
      </w:r>
    </w:p>
    <w:p w14:paraId="38E80C6C">
      <w:pPr>
        <w:tabs>
          <w:tab w:val="center" w:pos="4153"/>
          <w:tab w:val="right" w:pos="8306"/>
        </w:tabs>
        <w:snapToGrid w:val="0"/>
        <w:spacing w:after="0"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如违反上述有关规定，采购人有权取消我公司参与响应的资格，没收保证金，并将行为予以记录。对给采购人或其他人造成损失的，依法承担赔偿责任。对触犯刑律者，移交司法部门依法追究刑事责任。</w:t>
      </w:r>
    </w:p>
    <w:p w14:paraId="34A3C629">
      <w:pPr>
        <w:spacing w:after="0" w:line="400" w:lineRule="exact"/>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承诺期限至项目竣工或完成。</w:t>
      </w:r>
    </w:p>
    <w:p w14:paraId="781B0DAC">
      <w:pPr>
        <w:keepNext w:val="0"/>
        <w:keepLines w:val="0"/>
        <w:pageBreakBefore w:val="0"/>
        <w:widowControl/>
        <w:kinsoku/>
        <w:wordWrap/>
        <w:overflowPunct/>
        <w:topLinePunct w:val="0"/>
        <w:autoSpaceDE/>
        <w:autoSpaceDN/>
        <w:bidi w:val="0"/>
        <w:adjustRightInd/>
        <w:snapToGrid/>
        <w:spacing w:beforeAutospacing="0" w:after="0" w:line="440" w:lineRule="exact"/>
        <w:ind w:firstLine="3316" w:firstLineChars="1382"/>
        <w:textAlignment w:val="auto"/>
        <w:rPr>
          <w:rFonts w:hint="eastAsia" w:ascii="宋体" w:hAnsi="宋体" w:cs="宋体"/>
          <w:bCs/>
          <w:color w:val="auto"/>
          <w:sz w:val="24"/>
          <w:szCs w:val="24"/>
          <w:highlight w:val="none"/>
          <w:u w:val="single"/>
          <w:lang w:val="zh-CN"/>
        </w:rPr>
      </w:pPr>
      <w:r>
        <w:rPr>
          <w:rFonts w:hint="eastAsia" w:ascii="宋体" w:hAnsi="宋体" w:cs="宋体"/>
          <w:bCs/>
          <w:color w:val="auto"/>
          <w:sz w:val="24"/>
          <w:szCs w:val="24"/>
          <w:highlight w:val="none"/>
          <w:lang w:val="zh-CN"/>
        </w:rPr>
        <w:t>供应商名称（公章）：</w:t>
      </w:r>
      <w:r>
        <w:rPr>
          <w:rFonts w:hint="eastAsia" w:ascii="宋体" w:hAnsi="宋体" w:cs="宋体"/>
          <w:bCs/>
          <w:color w:val="auto"/>
          <w:sz w:val="24"/>
          <w:szCs w:val="24"/>
          <w:highlight w:val="none"/>
          <w:u w:val="single"/>
          <w:lang w:val="zh-CN"/>
        </w:rPr>
        <w:t xml:space="preserve">                         </w:t>
      </w:r>
    </w:p>
    <w:p w14:paraId="5BE14B95">
      <w:pPr>
        <w:keepNext w:val="0"/>
        <w:keepLines w:val="0"/>
        <w:pageBreakBefore w:val="0"/>
        <w:widowControl/>
        <w:kinsoku/>
        <w:wordWrap/>
        <w:overflowPunct/>
        <w:topLinePunct w:val="0"/>
        <w:autoSpaceDE/>
        <w:autoSpaceDN/>
        <w:bidi w:val="0"/>
        <w:adjustRightInd/>
        <w:snapToGrid/>
        <w:spacing w:beforeAutospacing="0" w:after="0" w:line="440" w:lineRule="exact"/>
        <w:ind w:firstLine="3316" w:firstLineChars="1382"/>
        <w:textAlignment w:val="auto"/>
        <w:rPr>
          <w:rFonts w:hint="eastAsia" w:ascii="宋体" w:hAnsi="宋体" w:cs="宋体"/>
          <w:b/>
          <w:bCs/>
          <w:color w:val="auto"/>
          <w:sz w:val="24"/>
          <w:szCs w:val="24"/>
          <w:highlight w:val="none"/>
          <w:u w:val="single"/>
          <w:lang w:val="zh-CN"/>
        </w:rPr>
      </w:pPr>
      <w:r>
        <w:rPr>
          <w:rFonts w:hint="eastAsia" w:ascii="宋体" w:hAnsi="宋体" w:cs="宋体"/>
          <w:bCs/>
          <w:color w:val="auto"/>
          <w:sz w:val="24"/>
          <w:szCs w:val="24"/>
          <w:highlight w:val="none"/>
          <w:lang w:val="zh-CN"/>
        </w:rPr>
        <w:t>授权代表：</w:t>
      </w:r>
      <w:r>
        <w:rPr>
          <w:rFonts w:hint="eastAsia" w:ascii="宋体" w:hAnsi="宋体" w:cs="宋体"/>
          <w:bCs/>
          <w:color w:val="auto"/>
          <w:sz w:val="24"/>
          <w:szCs w:val="24"/>
          <w:highlight w:val="none"/>
          <w:u w:val="single"/>
          <w:lang w:val="zh-CN"/>
        </w:rPr>
        <w:t xml:space="preserve">                  </w:t>
      </w:r>
    </w:p>
    <w:p w14:paraId="3AD5FAA8">
      <w:pPr>
        <w:keepNext w:val="0"/>
        <w:keepLines w:val="0"/>
        <w:pageBreakBefore w:val="0"/>
        <w:widowControl/>
        <w:kinsoku/>
        <w:wordWrap/>
        <w:overflowPunct/>
        <w:topLinePunct w:val="0"/>
        <w:autoSpaceDE/>
        <w:autoSpaceDN/>
        <w:bidi w:val="0"/>
        <w:adjustRightInd/>
        <w:snapToGrid/>
        <w:spacing w:beforeAutospacing="0" w:after="0" w:line="440" w:lineRule="exact"/>
        <w:ind w:firstLine="3316" w:firstLineChars="13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2E5A913B">
      <w:pPr>
        <w:numPr>
          <w:ilvl w:val="0"/>
          <w:numId w:val="61"/>
        </w:numPr>
        <w:tabs>
          <w:tab w:val="left" w:pos="426"/>
        </w:tabs>
        <w:spacing w:after="0" w:line="440" w:lineRule="exact"/>
        <w:ind w:left="0" w:firstLine="0"/>
        <w:contextualSpacing/>
        <w:jc w:val="both"/>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报价一览表</w:t>
      </w:r>
    </w:p>
    <w:p w14:paraId="63AFDB75">
      <w:pPr>
        <w:spacing w:line="44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报价一览表</w:t>
      </w:r>
    </w:p>
    <w:p w14:paraId="6275131C">
      <w:pPr>
        <w:adjustRightInd w:val="0"/>
        <w:snapToGrid w:val="0"/>
        <w:spacing w:line="440" w:lineRule="exact"/>
        <w:ind w:left="-281" w:leftChars="-128" w:firstLine="444" w:firstLineChars="150"/>
        <w:jc w:val="both"/>
        <w:rPr>
          <w:rFonts w:hint="eastAsia" w:ascii="宋体" w:hAnsi="宋体" w:cs="宋体"/>
          <w:color w:val="auto"/>
          <w:spacing w:val="28"/>
          <w:sz w:val="24"/>
          <w:szCs w:val="24"/>
          <w:highlight w:val="none"/>
        </w:rPr>
      </w:pPr>
    </w:p>
    <w:p w14:paraId="08208632">
      <w:pPr>
        <w:adjustRightInd w:val="0"/>
        <w:snapToGrid w:val="0"/>
        <w:ind w:left="-281" w:leftChars="-128" w:firstLine="444" w:firstLineChars="150"/>
        <w:jc w:val="both"/>
        <w:rPr>
          <w:rFonts w:hint="eastAsia" w:ascii="宋体" w:hAnsi="宋体" w:cs="宋体"/>
          <w:color w:val="auto"/>
          <w:spacing w:val="28"/>
          <w:sz w:val="24"/>
          <w:szCs w:val="24"/>
          <w:highlight w:val="none"/>
        </w:rPr>
      </w:pPr>
      <w:r>
        <w:rPr>
          <w:rFonts w:hint="eastAsia" w:ascii="宋体" w:hAnsi="宋体" w:cs="宋体"/>
          <w:b/>
          <w:color w:val="auto"/>
          <w:spacing w:val="28"/>
          <w:sz w:val="24"/>
          <w:szCs w:val="24"/>
          <w:highlight w:val="none"/>
        </w:rPr>
        <w:t>供应商应按“投标文件编制系统”指定格式进行编辑</w:t>
      </w:r>
      <w:r>
        <w:rPr>
          <w:rFonts w:hint="eastAsia" w:ascii="宋体" w:hAnsi="宋体" w:cs="宋体"/>
          <w:color w:val="auto"/>
          <w:spacing w:val="28"/>
          <w:sz w:val="24"/>
          <w:szCs w:val="24"/>
          <w:highlight w:val="none"/>
        </w:rPr>
        <w:t>，输出纸质响应文件（如需）时《报价一览表》需单独打印，并放置在本页位置处。</w:t>
      </w:r>
    </w:p>
    <w:p w14:paraId="014B9AE2">
      <w:pPr>
        <w:adjustRightInd w:val="0"/>
        <w:snapToGrid w:val="0"/>
        <w:spacing w:after="0"/>
        <w:ind w:left="-281" w:leftChars="-128" w:firstLine="444" w:firstLineChars="150"/>
        <w:rPr>
          <w:rFonts w:hint="eastAsia" w:ascii="宋体" w:hAnsi="宋体" w:cs="宋体"/>
          <w:color w:val="auto"/>
          <w:sz w:val="24"/>
          <w:szCs w:val="24"/>
          <w:highlight w:val="none"/>
        </w:rPr>
      </w:pPr>
      <w:r>
        <w:rPr>
          <w:rFonts w:hint="eastAsia" w:ascii="宋体" w:hAnsi="宋体" w:cs="宋体"/>
          <w:color w:val="auto"/>
          <w:spacing w:val="28"/>
          <w:sz w:val="24"/>
          <w:szCs w:val="24"/>
          <w:highlight w:val="none"/>
        </w:rPr>
        <w:t>供应商</w:t>
      </w:r>
      <w:r>
        <w:rPr>
          <w:rFonts w:hint="eastAsia" w:ascii="宋体" w:hAnsi="宋体" w:cs="宋体"/>
          <w:color w:val="auto"/>
          <w:sz w:val="24"/>
          <w:szCs w:val="24"/>
          <w:highlight w:val="none"/>
        </w:rPr>
        <w:t>名称:</w:t>
      </w:r>
      <w:r>
        <w:rPr>
          <w:rFonts w:hint="eastAsia" w:ascii="宋体" w:hAnsi="宋体" w:cs="宋体"/>
          <w:color w:val="auto"/>
          <w:sz w:val="24"/>
          <w:szCs w:val="24"/>
          <w:highlight w:val="none"/>
          <w:u w:val="single"/>
        </w:rPr>
        <w:t xml:space="preserve">                           </w:t>
      </w:r>
    </w:p>
    <w:p w14:paraId="39BFB4B1">
      <w:pPr>
        <w:adjustRightInd w:val="0"/>
        <w:snapToGrid w:val="0"/>
        <w:spacing w:after="0" w:line="440" w:lineRule="exact"/>
        <w:ind w:left="-281" w:leftChars="-128" w:firstLine="444" w:firstLineChars="150"/>
        <w:rPr>
          <w:rFonts w:hint="eastAsia" w:ascii="宋体" w:hAnsi="宋体" w:cs="宋体"/>
          <w:color w:val="auto"/>
          <w:sz w:val="24"/>
          <w:szCs w:val="24"/>
          <w:highlight w:val="none"/>
        </w:rPr>
      </w:pPr>
      <w:r>
        <w:rPr>
          <w:rFonts w:hint="eastAsia" w:ascii="宋体" w:hAnsi="宋体" w:cs="宋体"/>
          <w:color w:val="auto"/>
          <w:spacing w:val="28"/>
          <w:sz w:val="24"/>
          <w:szCs w:val="24"/>
          <w:highlight w:val="none"/>
        </w:rPr>
        <w:t>项目编号</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项目名称：</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4"/>
          <w:szCs w:val="24"/>
          <w:highlight w:val="none"/>
          <w:u w:val="single"/>
        </w:rPr>
        <w:t xml:space="preserve">  </w:t>
      </w:r>
    </w:p>
    <w:tbl>
      <w:tblPr>
        <w:tblStyle w:val="36"/>
        <w:tblW w:w="9279" w:type="dxa"/>
        <w:jc w:val="center"/>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4536"/>
        <w:gridCol w:w="3871"/>
      </w:tblGrid>
      <w:tr w14:paraId="2AD583D4">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72" w:type="dxa"/>
            <w:tcBorders>
              <w:top w:val="single" w:color="auto" w:sz="4" w:space="0"/>
              <w:left w:val="single" w:color="auto" w:sz="4" w:space="0"/>
              <w:bottom w:val="single" w:color="auto" w:sz="4" w:space="0"/>
              <w:right w:val="single" w:color="auto" w:sz="4" w:space="0"/>
            </w:tcBorders>
            <w:shd w:val="pct10" w:color="auto" w:fill="auto"/>
            <w:vAlign w:val="center"/>
          </w:tcPr>
          <w:p w14:paraId="10A8CB80">
            <w:pPr>
              <w:keepNext w:val="0"/>
              <w:keepLines w:val="0"/>
              <w:pageBreakBefore w:val="0"/>
              <w:widowControl/>
              <w:kinsoku/>
              <w:wordWrap/>
              <w:overflowPunct/>
              <w:topLinePunct w:val="0"/>
              <w:autoSpaceDE/>
              <w:autoSpaceDN/>
              <w:bidi w:val="0"/>
              <w:spacing w:after="0" w:line="24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4536" w:type="dxa"/>
            <w:tcBorders>
              <w:top w:val="single" w:color="auto" w:sz="4" w:space="0"/>
              <w:left w:val="single" w:color="auto" w:sz="4" w:space="0"/>
              <w:bottom w:val="single" w:color="auto" w:sz="4" w:space="0"/>
              <w:right w:val="single" w:color="auto" w:sz="4" w:space="0"/>
            </w:tcBorders>
            <w:shd w:val="pct10" w:color="auto" w:fill="auto"/>
            <w:vAlign w:val="center"/>
          </w:tcPr>
          <w:p w14:paraId="2260402A">
            <w:pPr>
              <w:keepNext w:val="0"/>
              <w:keepLines w:val="0"/>
              <w:pageBreakBefore w:val="0"/>
              <w:widowControl/>
              <w:kinsoku/>
              <w:wordWrap/>
              <w:overflowPunct/>
              <w:topLinePunct w:val="0"/>
              <w:autoSpaceDE/>
              <w:autoSpaceDN/>
              <w:bidi w:val="0"/>
              <w:spacing w:after="0" w:line="24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项目</w:t>
            </w:r>
          </w:p>
        </w:tc>
        <w:tc>
          <w:tcPr>
            <w:tcW w:w="3871" w:type="dxa"/>
            <w:tcBorders>
              <w:top w:val="single" w:color="auto" w:sz="4" w:space="0"/>
              <w:left w:val="single" w:color="auto" w:sz="4" w:space="0"/>
              <w:bottom w:val="single" w:color="auto" w:sz="4" w:space="0"/>
              <w:right w:val="single" w:color="auto" w:sz="4" w:space="0"/>
            </w:tcBorders>
            <w:shd w:val="pct10" w:color="auto" w:fill="auto"/>
            <w:vAlign w:val="center"/>
          </w:tcPr>
          <w:p w14:paraId="712ABBDF">
            <w:pPr>
              <w:keepNext w:val="0"/>
              <w:keepLines w:val="0"/>
              <w:pageBreakBefore w:val="0"/>
              <w:widowControl/>
              <w:kinsoku/>
              <w:wordWrap/>
              <w:overflowPunct/>
              <w:topLinePunct w:val="0"/>
              <w:autoSpaceDE/>
              <w:autoSpaceDN/>
              <w:bidi w:val="0"/>
              <w:spacing w:after="0" w:line="24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内容</w:t>
            </w:r>
          </w:p>
        </w:tc>
      </w:tr>
      <w:tr w14:paraId="2E859341">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14:paraId="1CD09C8F">
            <w:pPr>
              <w:keepNext w:val="0"/>
              <w:keepLines w:val="0"/>
              <w:pageBreakBefore w:val="0"/>
              <w:widowControl/>
              <w:kinsoku/>
              <w:wordWrap/>
              <w:overflowPunct/>
              <w:topLinePunct w:val="0"/>
              <w:autoSpaceDE/>
              <w:autoSpaceDN/>
              <w:bidi w:val="0"/>
              <w:spacing w:after="0" w:line="24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3F9710B1">
            <w:pPr>
              <w:keepNext w:val="0"/>
              <w:keepLines w:val="0"/>
              <w:pageBreakBefore w:val="0"/>
              <w:widowControl/>
              <w:kinsoku/>
              <w:wordWrap/>
              <w:overflowPunct/>
              <w:topLinePunct w:val="0"/>
              <w:autoSpaceDE/>
              <w:autoSpaceDN/>
              <w:bidi w:val="0"/>
              <w:spacing w:beforeAutospacing="0" w:after="0" w:afterAutospacing="0" w:line="24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人员管理费报价</w:t>
            </w:r>
          </w:p>
        </w:tc>
        <w:tc>
          <w:tcPr>
            <w:tcW w:w="3871" w:type="dxa"/>
            <w:tcBorders>
              <w:top w:val="single" w:color="auto" w:sz="4" w:space="0"/>
              <w:left w:val="single" w:color="auto" w:sz="4" w:space="0"/>
              <w:bottom w:val="single" w:color="auto" w:sz="4" w:space="0"/>
              <w:right w:val="single" w:color="auto" w:sz="4" w:space="0"/>
            </w:tcBorders>
            <w:shd w:val="clear" w:color="auto" w:fill="auto"/>
            <w:vAlign w:val="center"/>
          </w:tcPr>
          <w:p w14:paraId="1D1AF1E3">
            <w:pPr>
              <w:keepNext w:val="0"/>
              <w:keepLines w:val="0"/>
              <w:pageBreakBefore w:val="0"/>
              <w:widowControl/>
              <w:kinsoku/>
              <w:wordWrap/>
              <w:overflowPunct/>
              <w:topLinePunct w:val="0"/>
              <w:autoSpaceDE/>
              <w:autoSpaceDN/>
              <w:bidi w:val="0"/>
              <w:spacing w:beforeAutospacing="0" w:after="0" w:afterAutospacing="0" w:line="240" w:lineRule="auto"/>
              <w:ind w:left="-38" w:lef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人/月</w:t>
            </w:r>
          </w:p>
        </w:tc>
      </w:tr>
      <w:tr w14:paraId="4925F54F">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14:paraId="5000E365">
            <w:pPr>
              <w:keepNext w:val="0"/>
              <w:keepLines w:val="0"/>
              <w:pageBreakBefore w:val="0"/>
              <w:widowControl/>
              <w:kinsoku/>
              <w:wordWrap/>
              <w:overflowPunct/>
              <w:topLinePunct w:val="0"/>
              <w:autoSpaceDE/>
              <w:autoSpaceDN/>
              <w:bidi w:val="0"/>
              <w:spacing w:after="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0D46D240">
            <w:pPr>
              <w:keepNext w:val="0"/>
              <w:keepLines w:val="0"/>
              <w:pageBreakBefore w:val="0"/>
              <w:widowControl/>
              <w:kinsoku/>
              <w:wordWrap/>
              <w:overflowPunct/>
              <w:topLinePunct w:val="0"/>
              <w:autoSpaceDE/>
              <w:autoSpaceDN/>
              <w:bidi w:val="0"/>
              <w:spacing w:beforeAutospacing="0" w:after="0" w:afterAutospacing="0"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管理费总报价（</w:t>
            </w:r>
            <w:r>
              <w:rPr>
                <w:rFonts w:hint="eastAsia" w:ascii="宋体" w:hAnsi="宋体" w:eastAsia="宋体" w:cs="宋体"/>
                <w:color w:val="auto"/>
                <w:sz w:val="24"/>
                <w:szCs w:val="24"/>
                <w:highlight w:val="none"/>
              </w:rPr>
              <w:t>人员管理费报价</w:t>
            </w:r>
            <w:r>
              <w:rPr>
                <w:rFonts w:hint="eastAsia" w:ascii="宋体" w:hAnsi="宋体" w:eastAsia="宋体" w:cs="宋体"/>
                <w:color w:val="auto"/>
                <w:sz w:val="24"/>
                <w:szCs w:val="24"/>
                <w:highlight w:val="none"/>
                <w:lang w:val="en-US" w:eastAsia="zh-CN"/>
              </w:rPr>
              <w:t>*6*12）</w:t>
            </w:r>
          </w:p>
        </w:tc>
        <w:tc>
          <w:tcPr>
            <w:tcW w:w="3871" w:type="dxa"/>
            <w:tcBorders>
              <w:top w:val="single" w:color="auto" w:sz="4" w:space="0"/>
              <w:left w:val="single" w:color="auto" w:sz="4" w:space="0"/>
              <w:bottom w:val="single" w:color="auto" w:sz="4" w:space="0"/>
              <w:right w:val="single" w:color="auto" w:sz="4" w:space="0"/>
            </w:tcBorders>
            <w:shd w:val="clear" w:color="auto" w:fill="auto"/>
            <w:vAlign w:val="center"/>
          </w:tcPr>
          <w:p w14:paraId="1D8155D0">
            <w:pPr>
              <w:keepNext w:val="0"/>
              <w:keepLines w:val="0"/>
              <w:pageBreakBefore w:val="0"/>
              <w:widowControl/>
              <w:kinsoku/>
              <w:wordWrap/>
              <w:overflowPunct/>
              <w:topLinePunct w:val="0"/>
              <w:autoSpaceDE/>
              <w:autoSpaceDN/>
              <w:bidi w:val="0"/>
              <w:spacing w:beforeAutospacing="0" w:after="0" w:afterAutospacing="0" w:line="240" w:lineRule="auto"/>
              <w:ind w:left="-38" w:leftChars="0"/>
              <w:jc w:val="center"/>
              <w:textAlignment w:val="auto"/>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元</w:t>
            </w:r>
          </w:p>
        </w:tc>
      </w:tr>
      <w:tr w14:paraId="4B911150">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5D970FC7">
            <w:pPr>
              <w:keepNext w:val="0"/>
              <w:keepLines w:val="0"/>
              <w:pageBreakBefore w:val="0"/>
              <w:widowControl/>
              <w:kinsoku/>
              <w:wordWrap/>
              <w:overflowPunct/>
              <w:topLinePunct w:val="0"/>
              <w:autoSpaceDE/>
              <w:autoSpaceDN/>
              <w:bidi w:val="0"/>
              <w:spacing w:after="0" w:line="24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rPr>
              <w:t>3</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56E22409">
            <w:pPr>
              <w:keepNext w:val="0"/>
              <w:keepLines w:val="0"/>
              <w:pageBreakBefore w:val="0"/>
              <w:widowControl/>
              <w:kinsoku/>
              <w:wordWrap/>
              <w:overflowPunct/>
              <w:topLinePunct w:val="0"/>
              <w:autoSpaceDE/>
              <w:autoSpaceDN/>
              <w:bidi w:val="0"/>
              <w:spacing w:beforeAutospacing="0" w:after="0" w:afterAutospacing="0"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派遣人员工资、社保、补助、福利等所有费用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暂定）</w:t>
            </w:r>
          </w:p>
        </w:tc>
        <w:tc>
          <w:tcPr>
            <w:tcW w:w="3871" w:type="dxa"/>
            <w:tcBorders>
              <w:top w:val="single" w:color="auto" w:sz="4" w:space="0"/>
              <w:left w:val="single" w:color="auto" w:sz="4" w:space="0"/>
              <w:bottom w:val="single" w:color="auto" w:sz="4" w:space="0"/>
              <w:right w:val="single" w:color="auto" w:sz="4" w:space="0"/>
            </w:tcBorders>
            <w:shd w:val="clear" w:color="auto" w:fill="auto"/>
            <w:vAlign w:val="center"/>
          </w:tcPr>
          <w:p w14:paraId="1B3E2ABC">
            <w:pPr>
              <w:keepNext w:val="0"/>
              <w:keepLines w:val="0"/>
              <w:pageBreakBefore w:val="0"/>
              <w:widowControl/>
              <w:kinsoku/>
              <w:wordWrap/>
              <w:overflowPunct/>
              <w:topLinePunct w:val="0"/>
              <w:autoSpaceDE/>
              <w:autoSpaceDN/>
              <w:bidi w:val="0"/>
              <w:spacing w:beforeAutospacing="0" w:after="0" w:afterAutospacing="0" w:line="240" w:lineRule="auto"/>
              <w:ind w:left="-38" w:leftChars="0"/>
              <w:jc w:val="center"/>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442800元</w:t>
            </w:r>
          </w:p>
        </w:tc>
      </w:tr>
      <w:tr w14:paraId="6AA1648A">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5E714319">
            <w:pPr>
              <w:keepNext w:val="0"/>
              <w:keepLines w:val="0"/>
              <w:pageBreakBefore w:val="0"/>
              <w:widowControl/>
              <w:kinsoku/>
              <w:wordWrap/>
              <w:overflowPunct/>
              <w:topLinePunct w:val="0"/>
              <w:autoSpaceDE/>
              <w:autoSpaceDN/>
              <w:bidi w:val="0"/>
              <w:spacing w:after="0" w:line="24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rPr>
              <w:t>4</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208B00F3">
            <w:pPr>
              <w:keepNext w:val="0"/>
              <w:keepLines w:val="0"/>
              <w:pageBreakBefore w:val="0"/>
              <w:widowControl/>
              <w:kinsoku/>
              <w:wordWrap/>
              <w:overflowPunct/>
              <w:topLinePunct w:val="0"/>
              <w:autoSpaceDE/>
              <w:autoSpaceDN/>
              <w:bidi w:val="0"/>
              <w:spacing w:beforeAutospacing="0" w:after="0" w:afterAutospacing="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投标总报价（管理费总报价+</w:t>
            </w:r>
            <w:r>
              <w:rPr>
                <w:rFonts w:hint="eastAsia" w:ascii="宋体" w:hAnsi="宋体" w:eastAsia="宋体" w:cs="宋体"/>
                <w:color w:val="auto"/>
                <w:sz w:val="24"/>
                <w:szCs w:val="24"/>
                <w:highlight w:val="none"/>
              </w:rPr>
              <w:t>派遣人员工资、社保、补助、福利等所有费用</w:t>
            </w:r>
            <w:r>
              <w:rPr>
                <w:rFonts w:hint="eastAsia" w:ascii="宋体" w:hAnsi="宋体" w:eastAsia="宋体" w:cs="宋体"/>
                <w:color w:val="auto"/>
                <w:sz w:val="24"/>
                <w:szCs w:val="24"/>
                <w:highlight w:val="none"/>
                <w:lang w:eastAsia="zh-CN"/>
              </w:rPr>
              <w:t>）</w:t>
            </w:r>
          </w:p>
        </w:tc>
        <w:tc>
          <w:tcPr>
            <w:tcW w:w="3871" w:type="dxa"/>
            <w:tcBorders>
              <w:top w:val="single" w:color="auto" w:sz="4" w:space="0"/>
              <w:left w:val="single" w:color="auto" w:sz="4" w:space="0"/>
              <w:bottom w:val="single" w:color="auto" w:sz="4" w:space="0"/>
              <w:right w:val="single" w:color="auto" w:sz="4" w:space="0"/>
            </w:tcBorders>
            <w:shd w:val="clear" w:color="auto" w:fill="auto"/>
            <w:vAlign w:val="center"/>
          </w:tcPr>
          <w:p w14:paraId="09C05EB6">
            <w:pPr>
              <w:keepNext w:val="0"/>
              <w:keepLines w:val="0"/>
              <w:pageBreakBefore w:val="0"/>
              <w:widowControl/>
              <w:kinsoku/>
              <w:wordWrap/>
              <w:overflowPunct/>
              <w:topLinePunct w:val="0"/>
              <w:autoSpaceDE/>
              <w:autoSpaceDN/>
              <w:bidi w:val="0"/>
              <w:spacing w:beforeAutospacing="0" w:after="0" w:afterAutospacing="0" w:line="240" w:lineRule="auto"/>
              <w:ind w:left="-38" w:leftChars="0"/>
              <w:jc w:val="center"/>
              <w:textAlignment w:val="auto"/>
              <w:rPr>
                <w:rFonts w:hint="eastAsia" w:ascii="宋体" w:hAnsi="宋体" w:eastAsia="宋体" w:cs="宋体"/>
                <w:color w:val="auto"/>
                <w:sz w:val="24"/>
                <w:szCs w:val="24"/>
                <w:highlight w:val="none"/>
                <w:u w:val="none"/>
                <w:lang w:val="en-US" w:eastAsia="zh-CN"/>
              </w:rPr>
            </w:pPr>
          </w:p>
        </w:tc>
      </w:tr>
      <w:tr w14:paraId="3CFCEED9">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72" w:type="dxa"/>
            <w:tcBorders>
              <w:left w:val="single" w:color="auto" w:sz="4" w:space="0"/>
              <w:bottom w:val="single" w:color="auto" w:sz="4" w:space="0"/>
              <w:right w:val="single" w:color="auto" w:sz="4" w:space="0"/>
            </w:tcBorders>
            <w:vAlign w:val="center"/>
          </w:tcPr>
          <w:p w14:paraId="2EA40836">
            <w:pPr>
              <w:keepNext w:val="0"/>
              <w:keepLines w:val="0"/>
              <w:pageBreakBefore w:val="0"/>
              <w:widowControl/>
              <w:kinsoku/>
              <w:wordWrap/>
              <w:overflowPunct/>
              <w:topLinePunct w:val="0"/>
              <w:autoSpaceDE/>
              <w:autoSpaceDN/>
              <w:bidi w:val="0"/>
              <w:spacing w:after="0"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188A37C1">
            <w:pPr>
              <w:keepNext w:val="0"/>
              <w:keepLines w:val="0"/>
              <w:pageBreakBefore w:val="0"/>
              <w:widowControl/>
              <w:kinsoku/>
              <w:wordWrap/>
              <w:overflowPunct/>
              <w:topLinePunct w:val="0"/>
              <w:autoSpaceDE/>
              <w:autoSpaceDN/>
              <w:bidi w:val="0"/>
              <w:spacing w:beforeAutospacing="0" w:after="0" w:afterAutospacing="0"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服务期</w:t>
            </w:r>
          </w:p>
        </w:tc>
        <w:tc>
          <w:tcPr>
            <w:tcW w:w="3871" w:type="dxa"/>
            <w:tcBorders>
              <w:top w:val="single" w:color="auto" w:sz="4" w:space="0"/>
              <w:left w:val="single" w:color="auto" w:sz="4" w:space="0"/>
              <w:bottom w:val="single" w:color="auto" w:sz="4" w:space="0"/>
              <w:right w:val="single" w:color="auto" w:sz="4" w:space="0"/>
            </w:tcBorders>
            <w:shd w:val="clear" w:color="auto" w:fill="auto"/>
            <w:vAlign w:val="center"/>
          </w:tcPr>
          <w:p w14:paraId="49D50B67">
            <w:pPr>
              <w:keepNext w:val="0"/>
              <w:keepLines w:val="0"/>
              <w:pageBreakBefore w:val="0"/>
              <w:widowControl/>
              <w:kinsoku/>
              <w:wordWrap/>
              <w:overflowPunct/>
              <w:topLinePunct w:val="0"/>
              <w:autoSpaceDE/>
              <w:autoSpaceDN/>
              <w:bidi w:val="0"/>
              <w:spacing w:beforeAutospacing="0" w:after="0" w:afterAutospacing="0" w:line="240" w:lineRule="auto"/>
              <w:ind w:left="-38" w:leftChars="0"/>
              <w:jc w:val="center"/>
              <w:textAlignment w:val="auto"/>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三年</w:t>
            </w:r>
          </w:p>
        </w:tc>
      </w:tr>
      <w:tr w14:paraId="136F2FCF">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14:paraId="592B663E">
            <w:pPr>
              <w:keepNext w:val="0"/>
              <w:keepLines w:val="0"/>
              <w:pageBreakBefore w:val="0"/>
              <w:widowControl/>
              <w:kinsoku/>
              <w:wordWrap/>
              <w:overflowPunct/>
              <w:topLinePunct w:val="0"/>
              <w:autoSpaceDE/>
              <w:autoSpaceDN/>
              <w:bidi w:val="0"/>
              <w:spacing w:after="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0CB0383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rPr>
              <w:t>备注</w:t>
            </w:r>
          </w:p>
        </w:tc>
        <w:tc>
          <w:tcPr>
            <w:tcW w:w="3871" w:type="dxa"/>
            <w:tcBorders>
              <w:top w:val="single" w:color="auto" w:sz="4" w:space="0"/>
              <w:left w:val="single" w:color="auto" w:sz="4" w:space="0"/>
              <w:bottom w:val="single" w:color="auto" w:sz="4" w:space="0"/>
              <w:right w:val="single" w:color="auto" w:sz="4" w:space="0"/>
            </w:tcBorders>
            <w:shd w:val="clear" w:color="auto" w:fill="auto"/>
            <w:vAlign w:val="center"/>
          </w:tcPr>
          <w:p w14:paraId="7EA69783">
            <w:pPr>
              <w:keepNext w:val="0"/>
              <w:keepLines w:val="0"/>
              <w:pageBreakBefore w:val="0"/>
              <w:widowControl/>
              <w:kinsoku/>
              <w:wordWrap/>
              <w:overflowPunct/>
              <w:topLinePunct w:val="0"/>
              <w:autoSpaceDE/>
              <w:autoSpaceDN/>
              <w:bidi w:val="0"/>
              <w:spacing w:after="0" w:line="240" w:lineRule="auto"/>
              <w:ind w:left="-38" w:leftChars="0"/>
              <w:jc w:val="center"/>
              <w:textAlignment w:val="auto"/>
              <w:rPr>
                <w:rFonts w:hint="eastAsia" w:ascii="宋体" w:hAnsi="宋体" w:eastAsia="宋体" w:cs="宋体"/>
                <w:color w:val="auto"/>
                <w:kern w:val="0"/>
                <w:sz w:val="24"/>
                <w:szCs w:val="24"/>
                <w:highlight w:val="none"/>
                <w:u w:val="none"/>
                <w:lang w:val="en-US" w:eastAsia="zh-CN" w:bidi="ar-SA"/>
              </w:rPr>
            </w:pPr>
          </w:p>
        </w:tc>
      </w:tr>
    </w:tbl>
    <w:p w14:paraId="48865998">
      <w:pPr>
        <w:spacing w:after="0"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说明：1．报价单位、币种及填报内容以“投标文件编制系统”要求为准。</w:t>
      </w:r>
    </w:p>
    <w:p w14:paraId="0F03EA4A">
      <w:pPr>
        <w:spacing w:after="0" w:line="440" w:lineRule="exact"/>
        <w:ind w:left="1095" w:leftChars="339" w:hanging="350" w:hangingChars="146"/>
        <w:rPr>
          <w:rFonts w:hint="eastAsia" w:ascii="宋体" w:hAnsi="宋体" w:cs="宋体"/>
          <w:color w:val="auto"/>
          <w:kern w:val="2"/>
          <w:sz w:val="24"/>
          <w:szCs w:val="24"/>
          <w:highlight w:val="none"/>
        </w:rPr>
      </w:pPr>
      <w:r>
        <w:rPr>
          <w:rFonts w:hint="eastAsia" w:ascii="宋体" w:hAnsi="宋体" w:cs="宋体"/>
          <w:color w:val="auto"/>
          <w:sz w:val="24"/>
          <w:szCs w:val="24"/>
          <w:highlight w:val="none"/>
        </w:rPr>
        <w:t>2．价格应按照采购文件第二章“供应商须知”中第12条的要求进行报价。</w:t>
      </w:r>
    </w:p>
    <w:p w14:paraId="0C3C8A12">
      <w:pPr>
        <w:spacing w:after="0" w:line="440" w:lineRule="exact"/>
        <w:ind w:left="1095" w:leftChars="339" w:hanging="350" w:hangingChars="146"/>
        <w:rPr>
          <w:rFonts w:hint="eastAsia" w:ascii="宋体" w:hAnsi="宋体" w:cs="宋体"/>
          <w:color w:val="auto"/>
          <w:sz w:val="24"/>
          <w:szCs w:val="24"/>
          <w:highlight w:val="none"/>
        </w:rPr>
      </w:pPr>
      <w:r>
        <w:rPr>
          <w:rFonts w:hint="eastAsia" w:ascii="宋体" w:hAnsi="宋体" w:cs="宋体"/>
          <w:color w:val="auto"/>
          <w:sz w:val="24"/>
          <w:szCs w:val="24"/>
          <w:highlight w:val="none"/>
        </w:rPr>
        <w:t>3. 如果以文字表示的数值与以数字表示的数值不一致，以文字为准修正数字。</w:t>
      </w:r>
    </w:p>
    <w:p w14:paraId="4B5307EC">
      <w:pPr>
        <w:keepNext w:val="0"/>
        <w:keepLines w:val="0"/>
        <w:pageBreakBefore w:val="0"/>
        <w:widowControl/>
        <w:kinsoku/>
        <w:wordWrap/>
        <w:overflowPunct/>
        <w:topLinePunct w:val="0"/>
        <w:autoSpaceDE/>
        <w:autoSpaceDN/>
        <w:bidi w:val="0"/>
        <w:adjustRightInd/>
        <w:snapToGrid/>
        <w:spacing w:after="0" w:line="440" w:lineRule="exact"/>
        <w:ind w:firstLine="3316" w:firstLineChars="1382"/>
        <w:textAlignment w:val="auto"/>
        <w:rPr>
          <w:rFonts w:hint="eastAsia" w:ascii="宋体" w:hAnsi="宋体" w:cs="宋体"/>
          <w:bCs/>
          <w:color w:val="auto"/>
          <w:sz w:val="24"/>
          <w:szCs w:val="24"/>
          <w:highlight w:val="none"/>
          <w:u w:val="single"/>
          <w:lang w:val="zh-CN"/>
        </w:rPr>
      </w:pPr>
      <w:r>
        <w:rPr>
          <w:rFonts w:hint="eastAsia" w:ascii="宋体" w:hAnsi="宋体" w:cs="宋体"/>
          <w:bCs/>
          <w:color w:val="auto"/>
          <w:sz w:val="24"/>
          <w:szCs w:val="24"/>
          <w:highlight w:val="none"/>
          <w:lang w:val="zh-CN"/>
        </w:rPr>
        <w:t>供应商名称（公章）：</w:t>
      </w:r>
      <w:r>
        <w:rPr>
          <w:rFonts w:hint="eastAsia" w:ascii="宋体" w:hAnsi="宋体" w:cs="宋体"/>
          <w:bCs/>
          <w:color w:val="auto"/>
          <w:sz w:val="24"/>
          <w:szCs w:val="24"/>
          <w:highlight w:val="none"/>
          <w:u w:val="single"/>
          <w:lang w:val="zh-CN"/>
        </w:rPr>
        <w:t xml:space="preserve">                         </w:t>
      </w:r>
    </w:p>
    <w:p w14:paraId="4F246076">
      <w:pPr>
        <w:keepNext w:val="0"/>
        <w:keepLines w:val="0"/>
        <w:pageBreakBefore w:val="0"/>
        <w:widowControl/>
        <w:kinsoku/>
        <w:wordWrap/>
        <w:overflowPunct/>
        <w:topLinePunct w:val="0"/>
        <w:autoSpaceDE/>
        <w:autoSpaceDN/>
        <w:bidi w:val="0"/>
        <w:adjustRightInd/>
        <w:snapToGrid/>
        <w:spacing w:after="0" w:line="440" w:lineRule="exact"/>
        <w:ind w:firstLine="3316" w:firstLineChars="1382"/>
        <w:textAlignment w:val="auto"/>
        <w:rPr>
          <w:rFonts w:hint="eastAsia" w:ascii="宋体" w:hAnsi="宋体" w:cs="宋体"/>
          <w:b/>
          <w:bCs/>
          <w:color w:val="auto"/>
          <w:sz w:val="24"/>
          <w:szCs w:val="24"/>
          <w:highlight w:val="none"/>
          <w:u w:val="single"/>
          <w:lang w:val="zh-CN"/>
        </w:rPr>
      </w:pPr>
      <w:r>
        <w:rPr>
          <w:rFonts w:hint="eastAsia" w:ascii="宋体" w:hAnsi="宋体" w:cs="宋体"/>
          <w:bCs/>
          <w:color w:val="auto"/>
          <w:sz w:val="24"/>
          <w:szCs w:val="24"/>
          <w:highlight w:val="none"/>
          <w:lang w:val="zh-CN"/>
        </w:rPr>
        <w:t>授权代表：</w:t>
      </w:r>
      <w:r>
        <w:rPr>
          <w:rFonts w:hint="eastAsia" w:ascii="宋体" w:hAnsi="宋体" w:cs="宋体"/>
          <w:bCs/>
          <w:color w:val="auto"/>
          <w:sz w:val="24"/>
          <w:szCs w:val="24"/>
          <w:highlight w:val="none"/>
          <w:u w:val="single"/>
          <w:lang w:val="zh-CN"/>
        </w:rPr>
        <w:t xml:space="preserve">                  </w:t>
      </w:r>
    </w:p>
    <w:p w14:paraId="08E74850">
      <w:pPr>
        <w:keepNext w:val="0"/>
        <w:keepLines w:val="0"/>
        <w:pageBreakBefore w:val="0"/>
        <w:widowControl/>
        <w:kinsoku/>
        <w:wordWrap/>
        <w:overflowPunct/>
        <w:topLinePunct w:val="0"/>
        <w:autoSpaceDE/>
        <w:autoSpaceDN/>
        <w:bidi w:val="0"/>
        <w:adjustRightInd/>
        <w:snapToGrid/>
        <w:spacing w:after="0" w:line="440" w:lineRule="exact"/>
        <w:ind w:firstLine="3316" w:firstLineChars="138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7830D7D">
      <w:pPr>
        <w:numPr>
          <w:ilvl w:val="0"/>
          <w:numId w:val="61"/>
        </w:numPr>
        <w:tabs>
          <w:tab w:val="left" w:pos="426"/>
        </w:tabs>
        <w:spacing w:after="0" w:line="440" w:lineRule="exact"/>
        <w:ind w:left="0" w:firstLine="0"/>
        <w:contextualSpacing/>
        <w:jc w:val="both"/>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报价明细表</w:t>
      </w:r>
    </w:p>
    <w:p w14:paraId="2D6469EA">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报价明细表</w:t>
      </w:r>
    </w:p>
    <w:p w14:paraId="22FDC278">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宋体" w:hAnsi="宋体" w:cs="宋体"/>
          <w:color w:val="auto"/>
          <w:sz w:val="24"/>
          <w:szCs w:val="24"/>
          <w:highlight w:val="none"/>
          <w:u w:val="single"/>
          <w:lang w:val="zh-CN"/>
        </w:rPr>
      </w:pPr>
      <w:r>
        <w:rPr>
          <w:rFonts w:hint="eastAsia" w:ascii="宋体" w:hAnsi="宋体" w:cs="宋体"/>
          <w:color w:val="auto"/>
          <w:sz w:val="24"/>
          <w:szCs w:val="24"/>
          <w:highlight w:val="none"/>
        </w:rPr>
        <w:t>供 应 商</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u w:val="single"/>
          <w:lang w:val="zh-CN"/>
        </w:rPr>
        <w:t xml:space="preserve">                     </w:t>
      </w:r>
    </w:p>
    <w:p w14:paraId="2074F532">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宋体" w:hAnsi="宋体" w:cs="宋体"/>
          <w:color w:val="auto"/>
          <w:sz w:val="24"/>
          <w:szCs w:val="24"/>
          <w:highlight w:val="none"/>
          <w:u w:val="single"/>
          <w:lang w:val="zh-CN"/>
        </w:rPr>
      </w:pPr>
      <w:r>
        <w:rPr>
          <w:rFonts w:hint="eastAsia" w:ascii="宋体" w:hAnsi="宋体" w:cs="宋体"/>
          <w:color w:val="auto"/>
          <w:sz w:val="24"/>
          <w:szCs w:val="24"/>
          <w:highlight w:val="none"/>
          <w:lang w:val="zh-CN"/>
        </w:rPr>
        <w:t>项目编号：</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4"/>
          <w:szCs w:val="24"/>
          <w:highlight w:val="none"/>
          <w:lang w:val="zh-CN"/>
        </w:rPr>
        <w:t xml:space="preserve">     </w:t>
      </w:r>
      <w:r>
        <w:rPr>
          <w:rFonts w:hint="eastAsia" w:ascii="宋体" w:hAnsi="宋体" w:cs="宋体"/>
          <w:bCs/>
          <w:color w:val="auto"/>
          <w:sz w:val="24"/>
          <w:szCs w:val="24"/>
          <w:highlight w:val="none"/>
          <w:lang w:val="zh-CN"/>
        </w:rPr>
        <w:t xml:space="preserve">                </w:t>
      </w:r>
      <w:r>
        <w:rPr>
          <w:rFonts w:hint="eastAsia" w:ascii="宋体" w:hAnsi="宋体" w:cs="宋体"/>
          <w:color w:val="auto"/>
          <w:sz w:val="24"/>
          <w:szCs w:val="24"/>
          <w:highlight w:val="none"/>
          <w:lang w:val="zh-CN"/>
        </w:rPr>
        <w:t>项目名称</w:t>
      </w:r>
      <w:r>
        <w:rPr>
          <w:rFonts w:hint="eastAsia" w:ascii="宋体" w:hAnsi="宋体" w:cs="宋体"/>
          <w:bCs/>
          <w:color w:val="auto"/>
          <w:sz w:val="24"/>
          <w:szCs w:val="24"/>
          <w:highlight w:val="none"/>
          <w:lang w:val="zh-CN"/>
        </w:rPr>
        <w:t>：</w:t>
      </w:r>
      <w:r>
        <w:rPr>
          <w:rFonts w:hint="eastAsia" w:ascii="宋体" w:hAnsi="宋体" w:cs="宋体"/>
          <w:bCs/>
          <w:color w:val="auto"/>
          <w:sz w:val="24"/>
          <w:szCs w:val="24"/>
          <w:highlight w:val="none"/>
          <w:u w:val="single"/>
          <w:lang w:val="zh-CN"/>
        </w:rPr>
        <w:t xml:space="preserve">           </w:t>
      </w:r>
    </w:p>
    <w:tbl>
      <w:tblPr>
        <w:tblStyle w:val="36"/>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843"/>
        <w:gridCol w:w="2976"/>
        <w:gridCol w:w="1201"/>
        <w:gridCol w:w="1316"/>
        <w:gridCol w:w="1357"/>
      </w:tblGrid>
      <w:tr w14:paraId="258C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3" w:type="dxa"/>
            <w:tcBorders>
              <w:top w:val="single" w:color="auto" w:sz="4" w:space="0"/>
              <w:left w:val="single" w:color="auto" w:sz="4" w:space="0"/>
              <w:bottom w:val="single" w:color="auto" w:sz="4" w:space="0"/>
              <w:right w:val="single" w:color="auto" w:sz="4" w:space="0"/>
            </w:tcBorders>
            <w:shd w:val="clear" w:color="auto" w:fill="D8D8D8"/>
            <w:vAlign w:val="center"/>
          </w:tcPr>
          <w:p w14:paraId="30408F00">
            <w:pPr>
              <w:ind w:left="-24" w:leftChars="-11" w:right="-68" w:rightChars="-31"/>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843" w:type="dxa"/>
            <w:tcBorders>
              <w:top w:val="single" w:color="auto" w:sz="4" w:space="0"/>
              <w:left w:val="single" w:color="auto" w:sz="4" w:space="0"/>
              <w:bottom w:val="single" w:color="auto" w:sz="4" w:space="0"/>
              <w:right w:val="single" w:color="auto" w:sz="4" w:space="0"/>
            </w:tcBorders>
            <w:shd w:val="clear" w:color="auto" w:fill="D8D8D8"/>
            <w:vAlign w:val="center"/>
          </w:tcPr>
          <w:p w14:paraId="49747D56">
            <w:pPr>
              <w:ind w:left="-50" w:leftChars="-23" w:right="-68" w:rightChars="-31"/>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服务名称</w:t>
            </w:r>
          </w:p>
        </w:tc>
        <w:tc>
          <w:tcPr>
            <w:tcW w:w="2976" w:type="dxa"/>
            <w:tcBorders>
              <w:top w:val="single" w:color="auto" w:sz="4" w:space="0"/>
              <w:left w:val="single" w:color="auto" w:sz="4" w:space="0"/>
              <w:bottom w:val="single" w:color="auto" w:sz="4" w:space="0"/>
              <w:right w:val="single" w:color="auto" w:sz="4" w:space="0"/>
            </w:tcBorders>
            <w:shd w:val="clear" w:color="auto" w:fill="D8D8D8"/>
            <w:vAlign w:val="center"/>
          </w:tcPr>
          <w:p w14:paraId="6391C517">
            <w:pPr>
              <w:ind w:left="-50" w:leftChars="-23" w:right="-68" w:rightChars="-31"/>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内容</w:t>
            </w:r>
          </w:p>
        </w:tc>
        <w:tc>
          <w:tcPr>
            <w:tcW w:w="1201" w:type="dxa"/>
            <w:tcBorders>
              <w:top w:val="single" w:color="auto" w:sz="4" w:space="0"/>
              <w:left w:val="single" w:color="auto" w:sz="4" w:space="0"/>
              <w:bottom w:val="single" w:color="auto" w:sz="4" w:space="0"/>
              <w:right w:val="single" w:color="auto" w:sz="4" w:space="0"/>
            </w:tcBorders>
            <w:shd w:val="clear" w:color="auto" w:fill="D8D8D8"/>
            <w:vAlign w:val="center"/>
          </w:tcPr>
          <w:p w14:paraId="025CCD7D">
            <w:pPr>
              <w:ind w:left="-50" w:leftChars="-23" w:right="-68" w:rightChars="-31"/>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数量</w:t>
            </w:r>
          </w:p>
        </w:tc>
        <w:tc>
          <w:tcPr>
            <w:tcW w:w="1316" w:type="dxa"/>
            <w:tcBorders>
              <w:top w:val="single" w:color="auto" w:sz="4" w:space="0"/>
              <w:left w:val="single" w:color="auto" w:sz="4" w:space="0"/>
              <w:bottom w:val="single" w:color="auto" w:sz="4" w:space="0"/>
              <w:right w:val="single" w:color="auto" w:sz="4" w:space="0"/>
            </w:tcBorders>
            <w:shd w:val="clear" w:color="auto" w:fill="D8D8D8"/>
            <w:vAlign w:val="center"/>
          </w:tcPr>
          <w:p w14:paraId="41E060AB">
            <w:pPr>
              <w:ind w:left="-24" w:leftChars="-11" w:right="-68" w:rightChars="-31"/>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单价</w:t>
            </w:r>
          </w:p>
        </w:tc>
        <w:tc>
          <w:tcPr>
            <w:tcW w:w="1357" w:type="dxa"/>
            <w:tcBorders>
              <w:top w:val="single" w:color="auto" w:sz="4" w:space="0"/>
              <w:left w:val="single" w:color="auto" w:sz="4" w:space="0"/>
              <w:bottom w:val="single" w:color="auto" w:sz="4" w:space="0"/>
              <w:right w:val="single" w:color="auto" w:sz="4" w:space="0"/>
            </w:tcBorders>
            <w:shd w:val="clear" w:color="auto" w:fill="D8D8D8"/>
            <w:vAlign w:val="center"/>
          </w:tcPr>
          <w:p w14:paraId="64957BCD">
            <w:pPr>
              <w:ind w:left="-24" w:leftChars="-11" w:right="-68" w:rightChars="-31"/>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分项合计</w:t>
            </w:r>
          </w:p>
        </w:tc>
      </w:tr>
      <w:tr w14:paraId="2DE5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3" w:type="dxa"/>
            <w:tcBorders>
              <w:top w:val="single" w:color="auto" w:sz="4" w:space="0"/>
              <w:left w:val="single" w:color="auto" w:sz="4" w:space="0"/>
              <w:bottom w:val="single" w:color="auto" w:sz="4" w:space="0"/>
              <w:right w:val="single" w:color="auto" w:sz="4" w:space="0"/>
            </w:tcBorders>
            <w:vAlign w:val="center"/>
          </w:tcPr>
          <w:p w14:paraId="07D48E1A">
            <w:pPr>
              <w:numPr>
                <w:ilvl w:val="0"/>
                <w:numId w:val="62"/>
              </w:numPr>
              <w:tabs>
                <w:tab w:val="left" w:pos="82"/>
              </w:tabs>
              <w:adjustRightInd w:val="0"/>
              <w:snapToGrid w:val="0"/>
              <w:jc w:val="center"/>
              <w:rPr>
                <w:rFonts w:hint="eastAsia" w:ascii="宋体" w:hAnsi="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5F7CC06F">
            <w:pPr>
              <w:tabs>
                <w:tab w:val="left" w:pos="0"/>
                <w:tab w:val="left" w:pos="56"/>
              </w:tabs>
              <w:adjustRightInd w:val="0"/>
              <w:snapToGrid w:val="0"/>
              <w:ind w:left="547" w:hanging="547" w:hangingChars="228"/>
              <w:jc w:val="center"/>
              <w:rPr>
                <w:rFonts w:hint="eastAsia" w:ascii="宋体" w:hAnsi="宋体" w:cs="宋体"/>
                <w:color w:val="auto"/>
                <w:sz w:val="24"/>
                <w:szCs w:val="24"/>
                <w:highlight w:val="none"/>
              </w:rPr>
            </w:pPr>
          </w:p>
        </w:tc>
        <w:tc>
          <w:tcPr>
            <w:tcW w:w="2976" w:type="dxa"/>
            <w:tcBorders>
              <w:top w:val="single" w:color="auto" w:sz="4" w:space="0"/>
              <w:left w:val="single" w:color="auto" w:sz="4" w:space="0"/>
              <w:bottom w:val="single" w:color="auto" w:sz="4" w:space="0"/>
              <w:right w:val="single" w:color="auto" w:sz="4" w:space="0"/>
            </w:tcBorders>
            <w:vAlign w:val="center"/>
          </w:tcPr>
          <w:p w14:paraId="3EF6A0BD">
            <w:pPr>
              <w:ind w:left="-50" w:leftChars="-23" w:right="-68" w:rightChars="-31"/>
              <w:rPr>
                <w:rFonts w:hint="eastAsia" w:ascii="宋体" w:hAnsi="宋体" w:cs="宋体"/>
                <w:color w:val="auto"/>
                <w:sz w:val="24"/>
                <w:szCs w:val="24"/>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14:paraId="5D49927C">
            <w:pPr>
              <w:ind w:left="-50" w:leftChars="-23" w:right="-68" w:rightChars="-31"/>
              <w:jc w:val="center"/>
              <w:rPr>
                <w:rFonts w:hint="eastAsia" w:ascii="宋体" w:hAnsi="宋体" w:cs="宋体"/>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vAlign w:val="center"/>
          </w:tcPr>
          <w:p w14:paraId="3E70B96B">
            <w:pPr>
              <w:ind w:left="-50" w:leftChars="-23" w:right="-68" w:rightChars="-31"/>
              <w:rPr>
                <w:rFonts w:hint="eastAsia" w:ascii="宋体" w:hAnsi="宋体" w:cs="宋体"/>
                <w:color w:val="auto"/>
                <w:sz w:val="24"/>
                <w:szCs w:val="24"/>
                <w:highlight w:val="none"/>
              </w:rPr>
            </w:pPr>
          </w:p>
        </w:tc>
        <w:tc>
          <w:tcPr>
            <w:tcW w:w="1357" w:type="dxa"/>
            <w:tcBorders>
              <w:top w:val="single" w:color="auto" w:sz="4" w:space="0"/>
              <w:left w:val="single" w:color="auto" w:sz="4" w:space="0"/>
              <w:bottom w:val="single" w:color="auto" w:sz="4" w:space="0"/>
              <w:right w:val="single" w:color="auto" w:sz="4" w:space="0"/>
            </w:tcBorders>
            <w:vAlign w:val="center"/>
          </w:tcPr>
          <w:p w14:paraId="2F182185">
            <w:pPr>
              <w:ind w:left="-50" w:leftChars="-23" w:right="-68" w:rightChars="-31"/>
              <w:jc w:val="center"/>
              <w:rPr>
                <w:rFonts w:hint="eastAsia" w:ascii="宋体" w:hAnsi="宋体" w:cs="宋体"/>
                <w:color w:val="auto"/>
                <w:sz w:val="24"/>
                <w:szCs w:val="24"/>
                <w:highlight w:val="none"/>
              </w:rPr>
            </w:pPr>
          </w:p>
        </w:tc>
      </w:tr>
      <w:tr w14:paraId="7053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3" w:type="dxa"/>
            <w:tcBorders>
              <w:top w:val="single" w:color="auto" w:sz="4" w:space="0"/>
              <w:left w:val="single" w:color="auto" w:sz="4" w:space="0"/>
              <w:bottom w:val="single" w:color="auto" w:sz="4" w:space="0"/>
              <w:right w:val="single" w:color="auto" w:sz="4" w:space="0"/>
            </w:tcBorders>
            <w:vAlign w:val="center"/>
          </w:tcPr>
          <w:p w14:paraId="4492DA93">
            <w:pPr>
              <w:numPr>
                <w:ilvl w:val="0"/>
                <w:numId w:val="62"/>
              </w:numPr>
              <w:tabs>
                <w:tab w:val="left" w:pos="82"/>
              </w:tabs>
              <w:adjustRightInd w:val="0"/>
              <w:snapToGrid w:val="0"/>
              <w:jc w:val="center"/>
              <w:rPr>
                <w:rFonts w:hint="eastAsia" w:ascii="宋体" w:hAnsi="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03143250">
            <w:pPr>
              <w:tabs>
                <w:tab w:val="left" w:pos="0"/>
                <w:tab w:val="left" w:pos="56"/>
              </w:tabs>
              <w:adjustRightInd w:val="0"/>
              <w:snapToGrid w:val="0"/>
              <w:jc w:val="center"/>
              <w:rPr>
                <w:rFonts w:hint="eastAsia" w:ascii="宋体" w:hAnsi="宋体" w:cs="宋体"/>
                <w:color w:val="auto"/>
                <w:sz w:val="24"/>
                <w:szCs w:val="24"/>
                <w:highlight w:val="none"/>
              </w:rPr>
            </w:pPr>
          </w:p>
        </w:tc>
        <w:tc>
          <w:tcPr>
            <w:tcW w:w="2976" w:type="dxa"/>
            <w:tcBorders>
              <w:top w:val="single" w:color="auto" w:sz="4" w:space="0"/>
              <w:left w:val="single" w:color="auto" w:sz="4" w:space="0"/>
              <w:bottom w:val="single" w:color="auto" w:sz="4" w:space="0"/>
              <w:right w:val="single" w:color="auto" w:sz="4" w:space="0"/>
            </w:tcBorders>
            <w:vAlign w:val="center"/>
          </w:tcPr>
          <w:p w14:paraId="56AA0BB4">
            <w:pPr>
              <w:ind w:left="-50" w:leftChars="-23" w:right="-68" w:rightChars="-31"/>
              <w:rPr>
                <w:rFonts w:hint="eastAsia" w:ascii="宋体" w:hAnsi="宋体" w:cs="宋体"/>
                <w:color w:val="auto"/>
                <w:sz w:val="24"/>
                <w:szCs w:val="24"/>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14:paraId="1F798B0F">
            <w:pPr>
              <w:ind w:left="-50" w:leftChars="-23" w:right="-68" w:rightChars="-31"/>
              <w:jc w:val="center"/>
              <w:rPr>
                <w:rFonts w:hint="eastAsia" w:ascii="宋体" w:hAnsi="宋体" w:cs="宋体"/>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vAlign w:val="center"/>
          </w:tcPr>
          <w:p w14:paraId="20F3FC60">
            <w:pPr>
              <w:ind w:left="-50" w:leftChars="-23" w:right="-68" w:rightChars="-31"/>
              <w:rPr>
                <w:rFonts w:hint="eastAsia" w:ascii="宋体" w:hAnsi="宋体" w:cs="宋体"/>
                <w:color w:val="auto"/>
                <w:sz w:val="24"/>
                <w:szCs w:val="24"/>
                <w:highlight w:val="none"/>
              </w:rPr>
            </w:pPr>
          </w:p>
        </w:tc>
        <w:tc>
          <w:tcPr>
            <w:tcW w:w="1357" w:type="dxa"/>
            <w:tcBorders>
              <w:top w:val="single" w:color="auto" w:sz="4" w:space="0"/>
              <w:left w:val="single" w:color="auto" w:sz="4" w:space="0"/>
              <w:bottom w:val="single" w:color="auto" w:sz="4" w:space="0"/>
              <w:right w:val="single" w:color="auto" w:sz="4" w:space="0"/>
            </w:tcBorders>
            <w:vAlign w:val="center"/>
          </w:tcPr>
          <w:p w14:paraId="335E39A0">
            <w:pPr>
              <w:ind w:left="-50" w:leftChars="-23" w:right="-68" w:rightChars="-31"/>
              <w:jc w:val="center"/>
              <w:rPr>
                <w:rFonts w:hint="eastAsia" w:ascii="宋体" w:hAnsi="宋体" w:cs="宋体"/>
                <w:color w:val="auto"/>
                <w:sz w:val="24"/>
                <w:szCs w:val="24"/>
                <w:highlight w:val="none"/>
              </w:rPr>
            </w:pPr>
          </w:p>
        </w:tc>
      </w:tr>
      <w:tr w14:paraId="75AB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3" w:type="dxa"/>
            <w:tcBorders>
              <w:top w:val="single" w:color="auto" w:sz="4" w:space="0"/>
              <w:left w:val="single" w:color="auto" w:sz="4" w:space="0"/>
              <w:bottom w:val="single" w:color="auto" w:sz="4" w:space="0"/>
              <w:right w:val="single" w:color="auto" w:sz="4" w:space="0"/>
            </w:tcBorders>
            <w:vAlign w:val="center"/>
          </w:tcPr>
          <w:p w14:paraId="1BAAF393">
            <w:pPr>
              <w:tabs>
                <w:tab w:val="left" w:pos="82"/>
              </w:tabs>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1843" w:type="dxa"/>
            <w:tcBorders>
              <w:top w:val="single" w:color="auto" w:sz="4" w:space="0"/>
              <w:left w:val="single" w:color="auto" w:sz="4" w:space="0"/>
              <w:bottom w:val="single" w:color="auto" w:sz="4" w:space="0"/>
              <w:right w:val="single" w:color="auto" w:sz="4" w:space="0"/>
            </w:tcBorders>
            <w:vAlign w:val="center"/>
          </w:tcPr>
          <w:p w14:paraId="0ACD94B2">
            <w:pPr>
              <w:ind w:left="-50" w:leftChars="-23" w:right="-68" w:rightChars="-31"/>
              <w:rPr>
                <w:rFonts w:hint="eastAsia" w:ascii="宋体" w:hAnsi="宋体" w:cs="宋体"/>
                <w:color w:val="auto"/>
                <w:sz w:val="24"/>
                <w:szCs w:val="24"/>
                <w:highlight w:val="none"/>
              </w:rPr>
            </w:pPr>
          </w:p>
        </w:tc>
        <w:tc>
          <w:tcPr>
            <w:tcW w:w="2976" w:type="dxa"/>
            <w:tcBorders>
              <w:top w:val="single" w:color="auto" w:sz="4" w:space="0"/>
              <w:left w:val="single" w:color="auto" w:sz="4" w:space="0"/>
              <w:bottom w:val="single" w:color="auto" w:sz="4" w:space="0"/>
              <w:right w:val="single" w:color="auto" w:sz="4" w:space="0"/>
            </w:tcBorders>
            <w:vAlign w:val="center"/>
          </w:tcPr>
          <w:p w14:paraId="696EDB10">
            <w:pPr>
              <w:ind w:left="-50" w:leftChars="-23" w:right="-68" w:rightChars="-31"/>
              <w:rPr>
                <w:rFonts w:hint="eastAsia" w:ascii="宋体" w:hAnsi="宋体" w:cs="宋体"/>
                <w:color w:val="auto"/>
                <w:sz w:val="24"/>
                <w:szCs w:val="24"/>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14:paraId="469B0645">
            <w:pPr>
              <w:ind w:left="-50" w:leftChars="-23" w:right="-68" w:rightChars="-31"/>
              <w:jc w:val="center"/>
              <w:rPr>
                <w:rFonts w:hint="eastAsia" w:ascii="宋体" w:hAnsi="宋体" w:cs="宋体"/>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vAlign w:val="center"/>
          </w:tcPr>
          <w:p w14:paraId="6F21952D">
            <w:pPr>
              <w:ind w:left="-50" w:leftChars="-23" w:right="-68" w:rightChars="-31"/>
              <w:rPr>
                <w:rFonts w:hint="eastAsia" w:ascii="宋体" w:hAnsi="宋体" w:cs="宋体"/>
                <w:color w:val="auto"/>
                <w:sz w:val="24"/>
                <w:szCs w:val="24"/>
                <w:highlight w:val="none"/>
              </w:rPr>
            </w:pPr>
          </w:p>
        </w:tc>
        <w:tc>
          <w:tcPr>
            <w:tcW w:w="1357" w:type="dxa"/>
            <w:tcBorders>
              <w:top w:val="single" w:color="auto" w:sz="4" w:space="0"/>
              <w:left w:val="single" w:color="auto" w:sz="4" w:space="0"/>
              <w:bottom w:val="single" w:color="auto" w:sz="4" w:space="0"/>
              <w:right w:val="single" w:color="auto" w:sz="4" w:space="0"/>
            </w:tcBorders>
            <w:vAlign w:val="center"/>
          </w:tcPr>
          <w:p w14:paraId="2AA640A5">
            <w:pPr>
              <w:ind w:left="-50" w:leftChars="-23" w:right="-68" w:rightChars="-31"/>
              <w:jc w:val="center"/>
              <w:rPr>
                <w:rFonts w:hint="eastAsia" w:ascii="宋体" w:hAnsi="宋体" w:cs="宋体"/>
                <w:color w:val="auto"/>
                <w:sz w:val="24"/>
                <w:szCs w:val="24"/>
                <w:highlight w:val="none"/>
              </w:rPr>
            </w:pPr>
          </w:p>
        </w:tc>
      </w:tr>
      <w:tr w14:paraId="64C4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3" w:type="dxa"/>
            <w:tcBorders>
              <w:top w:val="single" w:color="auto" w:sz="4" w:space="0"/>
              <w:left w:val="single" w:color="auto" w:sz="4" w:space="0"/>
              <w:bottom w:val="single" w:color="auto" w:sz="4" w:space="0"/>
              <w:right w:val="single" w:color="auto" w:sz="4" w:space="0"/>
            </w:tcBorders>
            <w:vAlign w:val="center"/>
          </w:tcPr>
          <w:p w14:paraId="1ED4843C">
            <w:pPr>
              <w:tabs>
                <w:tab w:val="left" w:pos="82"/>
              </w:tabs>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1843" w:type="dxa"/>
            <w:tcBorders>
              <w:top w:val="single" w:color="auto" w:sz="4" w:space="0"/>
              <w:left w:val="single" w:color="auto" w:sz="4" w:space="0"/>
              <w:bottom w:val="single" w:color="auto" w:sz="4" w:space="0"/>
              <w:right w:val="single" w:color="auto" w:sz="4" w:space="0"/>
            </w:tcBorders>
            <w:vAlign w:val="center"/>
          </w:tcPr>
          <w:p w14:paraId="21AE37B9">
            <w:pPr>
              <w:ind w:left="-50" w:leftChars="-23" w:right="-68" w:rightChars="-31"/>
              <w:rPr>
                <w:rFonts w:hint="eastAsia" w:ascii="宋体" w:hAnsi="宋体" w:cs="宋体"/>
                <w:color w:val="auto"/>
                <w:sz w:val="24"/>
                <w:szCs w:val="24"/>
                <w:highlight w:val="none"/>
              </w:rPr>
            </w:pPr>
          </w:p>
        </w:tc>
        <w:tc>
          <w:tcPr>
            <w:tcW w:w="2976" w:type="dxa"/>
            <w:tcBorders>
              <w:top w:val="single" w:color="auto" w:sz="4" w:space="0"/>
              <w:left w:val="single" w:color="auto" w:sz="4" w:space="0"/>
              <w:bottom w:val="single" w:color="auto" w:sz="4" w:space="0"/>
              <w:right w:val="single" w:color="auto" w:sz="4" w:space="0"/>
            </w:tcBorders>
            <w:vAlign w:val="center"/>
          </w:tcPr>
          <w:p w14:paraId="15728E30">
            <w:pPr>
              <w:ind w:left="-50" w:leftChars="-23" w:right="-68" w:rightChars="-31"/>
              <w:rPr>
                <w:rFonts w:hint="eastAsia" w:ascii="宋体" w:hAnsi="宋体" w:cs="宋体"/>
                <w:color w:val="auto"/>
                <w:sz w:val="24"/>
                <w:szCs w:val="24"/>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14:paraId="4462FF8A">
            <w:pPr>
              <w:ind w:left="-50" w:leftChars="-23" w:right="-68" w:rightChars="-31"/>
              <w:jc w:val="center"/>
              <w:rPr>
                <w:rFonts w:hint="eastAsia" w:ascii="宋体" w:hAnsi="宋体" w:cs="宋体"/>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vAlign w:val="center"/>
          </w:tcPr>
          <w:p w14:paraId="4CEFB49A">
            <w:pPr>
              <w:ind w:left="-50" w:leftChars="-23" w:right="-68" w:rightChars="-31"/>
              <w:rPr>
                <w:rFonts w:hint="eastAsia" w:ascii="宋体" w:hAnsi="宋体" w:cs="宋体"/>
                <w:color w:val="auto"/>
                <w:sz w:val="24"/>
                <w:szCs w:val="24"/>
                <w:highlight w:val="none"/>
              </w:rPr>
            </w:pPr>
          </w:p>
        </w:tc>
        <w:tc>
          <w:tcPr>
            <w:tcW w:w="1357" w:type="dxa"/>
            <w:tcBorders>
              <w:top w:val="single" w:color="auto" w:sz="4" w:space="0"/>
              <w:left w:val="single" w:color="auto" w:sz="4" w:space="0"/>
              <w:bottom w:val="single" w:color="auto" w:sz="4" w:space="0"/>
              <w:right w:val="single" w:color="auto" w:sz="4" w:space="0"/>
            </w:tcBorders>
            <w:vAlign w:val="center"/>
          </w:tcPr>
          <w:p w14:paraId="23D44F59">
            <w:pPr>
              <w:ind w:left="-50" w:leftChars="-23" w:right="-68" w:rightChars="-31"/>
              <w:jc w:val="center"/>
              <w:rPr>
                <w:rFonts w:hint="eastAsia" w:ascii="宋体" w:hAnsi="宋体" w:cs="宋体"/>
                <w:color w:val="auto"/>
                <w:sz w:val="24"/>
                <w:szCs w:val="24"/>
                <w:highlight w:val="none"/>
              </w:rPr>
            </w:pPr>
          </w:p>
        </w:tc>
      </w:tr>
      <w:tr w14:paraId="2A198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3" w:type="dxa"/>
            <w:tcBorders>
              <w:top w:val="single" w:color="auto" w:sz="4" w:space="0"/>
              <w:left w:val="single" w:color="auto" w:sz="4" w:space="0"/>
              <w:bottom w:val="single" w:color="auto" w:sz="4" w:space="0"/>
              <w:right w:val="single" w:color="auto" w:sz="4" w:space="0"/>
            </w:tcBorders>
            <w:vAlign w:val="center"/>
          </w:tcPr>
          <w:p w14:paraId="63347018">
            <w:pPr>
              <w:tabs>
                <w:tab w:val="left" w:pos="82"/>
              </w:tabs>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1843" w:type="dxa"/>
            <w:tcBorders>
              <w:top w:val="single" w:color="auto" w:sz="4" w:space="0"/>
              <w:left w:val="single" w:color="auto" w:sz="4" w:space="0"/>
              <w:bottom w:val="single" w:color="auto" w:sz="4" w:space="0"/>
              <w:right w:val="single" w:color="auto" w:sz="4" w:space="0"/>
            </w:tcBorders>
            <w:vAlign w:val="center"/>
          </w:tcPr>
          <w:p w14:paraId="3602FC82">
            <w:pPr>
              <w:ind w:left="-50" w:leftChars="-23" w:right="-68" w:rightChars="-31"/>
              <w:rPr>
                <w:rFonts w:hint="eastAsia" w:ascii="宋体" w:hAnsi="宋体" w:cs="宋体"/>
                <w:color w:val="auto"/>
                <w:sz w:val="24"/>
                <w:szCs w:val="24"/>
                <w:highlight w:val="none"/>
              </w:rPr>
            </w:pPr>
          </w:p>
        </w:tc>
        <w:tc>
          <w:tcPr>
            <w:tcW w:w="2976" w:type="dxa"/>
            <w:tcBorders>
              <w:top w:val="single" w:color="auto" w:sz="4" w:space="0"/>
              <w:left w:val="single" w:color="auto" w:sz="4" w:space="0"/>
              <w:bottom w:val="single" w:color="auto" w:sz="4" w:space="0"/>
              <w:right w:val="single" w:color="auto" w:sz="4" w:space="0"/>
            </w:tcBorders>
            <w:vAlign w:val="center"/>
          </w:tcPr>
          <w:p w14:paraId="50B2FA86">
            <w:pPr>
              <w:ind w:left="-50" w:leftChars="-23" w:right="-68" w:rightChars="-31"/>
              <w:rPr>
                <w:rFonts w:hint="eastAsia" w:ascii="宋体" w:hAnsi="宋体" w:cs="宋体"/>
                <w:color w:val="auto"/>
                <w:sz w:val="24"/>
                <w:szCs w:val="24"/>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14:paraId="28A62F23">
            <w:pPr>
              <w:ind w:left="-50" w:leftChars="-23" w:right="-68" w:rightChars="-31"/>
              <w:jc w:val="center"/>
              <w:rPr>
                <w:rFonts w:hint="eastAsia" w:ascii="宋体" w:hAnsi="宋体" w:cs="宋体"/>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vAlign w:val="center"/>
          </w:tcPr>
          <w:p w14:paraId="3AACC724">
            <w:pPr>
              <w:ind w:left="-50" w:leftChars="-23" w:right="-68" w:rightChars="-31"/>
              <w:rPr>
                <w:rFonts w:hint="eastAsia" w:ascii="宋体" w:hAnsi="宋体" w:cs="宋体"/>
                <w:color w:val="auto"/>
                <w:sz w:val="24"/>
                <w:szCs w:val="24"/>
                <w:highlight w:val="none"/>
              </w:rPr>
            </w:pPr>
          </w:p>
        </w:tc>
        <w:tc>
          <w:tcPr>
            <w:tcW w:w="1357" w:type="dxa"/>
            <w:tcBorders>
              <w:top w:val="single" w:color="auto" w:sz="4" w:space="0"/>
              <w:left w:val="single" w:color="auto" w:sz="4" w:space="0"/>
              <w:bottom w:val="single" w:color="auto" w:sz="4" w:space="0"/>
              <w:right w:val="single" w:color="auto" w:sz="4" w:space="0"/>
            </w:tcBorders>
            <w:vAlign w:val="center"/>
          </w:tcPr>
          <w:p w14:paraId="40100100">
            <w:pPr>
              <w:ind w:left="-50" w:leftChars="-23" w:right="-68" w:rightChars="-31"/>
              <w:jc w:val="center"/>
              <w:rPr>
                <w:rFonts w:hint="eastAsia" w:ascii="宋体" w:hAnsi="宋体" w:cs="宋体"/>
                <w:color w:val="auto"/>
                <w:sz w:val="24"/>
                <w:szCs w:val="24"/>
                <w:highlight w:val="none"/>
              </w:rPr>
            </w:pPr>
          </w:p>
        </w:tc>
      </w:tr>
      <w:tr w14:paraId="0EAC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3" w:type="dxa"/>
            <w:tcBorders>
              <w:top w:val="single" w:color="auto" w:sz="4" w:space="0"/>
              <w:left w:val="single" w:color="auto" w:sz="4" w:space="0"/>
              <w:bottom w:val="single" w:color="auto" w:sz="4" w:space="0"/>
              <w:right w:val="single" w:color="auto" w:sz="4" w:space="0"/>
            </w:tcBorders>
            <w:vAlign w:val="center"/>
          </w:tcPr>
          <w:p w14:paraId="47E92BB9">
            <w:pPr>
              <w:tabs>
                <w:tab w:val="left" w:pos="82"/>
              </w:tabs>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1843" w:type="dxa"/>
            <w:tcBorders>
              <w:top w:val="single" w:color="auto" w:sz="4" w:space="0"/>
              <w:left w:val="single" w:color="auto" w:sz="4" w:space="0"/>
              <w:bottom w:val="single" w:color="auto" w:sz="4" w:space="0"/>
              <w:right w:val="single" w:color="auto" w:sz="4" w:space="0"/>
            </w:tcBorders>
            <w:vAlign w:val="center"/>
          </w:tcPr>
          <w:p w14:paraId="675CAC44">
            <w:pPr>
              <w:ind w:left="-50" w:leftChars="-23" w:right="-68" w:rightChars="-31"/>
              <w:rPr>
                <w:rFonts w:hint="eastAsia" w:ascii="宋体" w:hAnsi="宋体" w:cs="宋体"/>
                <w:color w:val="auto"/>
                <w:sz w:val="24"/>
                <w:szCs w:val="24"/>
                <w:highlight w:val="none"/>
              </w:rPr>
            </w:pPr>
          </w:p>
        </w:tc>
        <w:tc>
          <w:tcPr>
            <w:tcW w:w="2976" w:type="dxa"/>
            <w:tcBorders>
              <w:top w:val="single" w:color="auto" w:sz="4" w:space="0"/>
              <w:left w:val="single" w:color="auto" w:sz="4" w:space="0"/>
              <w:bottom w:val="single" w:color="auto" w:sz="4" w:space="0"/>
              <w:right w:val="single" w:color="auto" w:sz="4" w:space="0"/>
            </w:tcBorders>
            <w:vAlign w:val="center"/>
          </w:tcPr>
          <w:p w14:paraId="6EFDBF79">
            <w:pPr>
              <w:ind w:left="-50" w:leftChars="-23" w:right="-68" w:rightChars="-31"/>
              <w:rPr>
                <w:rFonts w:hint="eastAsia" w:ascii="宋体" w:hAnsi="宋体" w:cs="宋体"/>
                <w:color w:val="auto"/>
                <w:sz w:val="24"/>
                <w:szCs w:val="24"/>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14:paraId="5D3C90F6">
            <w:pPr>
              <w:ind w:left="-50" w:leftChars="-23" w:right="-68" w:rightChars="-31"/>
              <w:jc w:val="center"/>
              <w:rPr>
                <w:rFonts w:hint="eastAsia" w:ascii="宋体" w:hAnsi="宋体" w:cs="宋体"/>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vAlign w:val="center"/>
          </w:tcPr>
          <w:p w14:paraId="1CE4098B">
            <w:pPr>
              <w:ind w:left="-50" w:leftChars="-23" w:right="-68" w:rightChars="-31"/>
              <w:rPr>
                <w:rFonts w:hint="eastAsia" w:ascii="宋体" w:hAnsi="宋体" w:cs="宋体"/>
                <w:color w:val="auto"/>
                <w:sz w:val="24"/>
                <w:szCs w:val="24"/>
                <w:highlight w:val="none"/>
              </w:rPr>
            </w:pPr>
          </w:p>
        </w:tc>
        <w:tc>
          <w:tcPr>
            <w:tcW w:w="1357" w:type="dxa"/>
            <w:tcBorders>
              <w:top w:val="single" w:color="auto" w:sz="4" w:space="0"/>
              <w:left w:val="single" w:color="auto" w:sz="4" w:space="0"/>
              <w:bottom w:val="single" w:color="auto" w:sz="4" w:space="0"/>
              <w:right w:val="single" w:color="auto" w:sz="4" w:space="0"/>
            </w:tcBorders>
            <w:vAlign w:val="center"/>
          </w:tcPr>
          <w:p w14:paraId="51670CE1">
            <w:pPr>
              <w:ind w:left="-50" w:leftChars="-23" w:right="-68" w:rightChars="-31"/>
              <w:jc w:val="center"/>
              <w:rPr>
                <w:rFonts w:hint="eastAsia" w:ascii="宋体" w:hAnsi="宋体" w:cs="宋体"/>
                <w:color w:val="auto"/>
                <w:sz w:val="24"/>
                <w:szCs w:val="24"/>
                <w:highlight w:val="none"/>
              </w:rPr>
            </w:pPr>
          </w:p>
        </w:tc>
      </w:tr>
      <w:tr w14:paraId="243A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3" w:type="dxa"/>
            <w:tcBorders>
              <w:top w:val="single" w:color="auto" w:sz="4" w:space="0"/>
              <w:left w:val="single" w:color="auto" w:sz="4" w:space="0"/>
              <w:bottom w:val="single" w:color="auto" w:sz="4" w:space="0"/>
              <w:right w:val="single" w:color="auto" w:sz="4" w:space="0"/>
            </w:tcBorders>
            <w:vAlign w:val="center"/>
          </w:tcPr>
          <w:p w14:paraId="6DA77672">
            <w:pPr>
              <w:tabs>
                <w:tab w:val="left" w:pos="82"/>
              </w:tabs>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1843" w:type="dxa"/>
            <w:tcBorders>
              <w:top w:val="single" w:color="auto" w:sz="4" w:space="0"/>
              <w:left w:val="single" w:color="auto" w:sz="4" w:space="0"/>
              <w:bottom w:val="single" w:color="auto" w:sz="4" w:space="0"/>
              <w:right w:val="single" w:color="auto" w:sz="4" w:space="0"/>
            </w:tcBorders>
            <w:vAlign w:val="center"/>
          </w:tcPr>
          <w:p w14:paraId="5FA9EA97">
            <w:pPr>
              <w:ind w:left="-50" w:leftChars="-23" w:right="-68" w:rightChars="-31"/>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2976" w:type="dxa"/>
            <w:tcBorders>
              <w:top w:val="single" w:color="auto" w:sz="4" w:space="0"/>
              <w:left w:val="single" w:color="auto" w:sz="4" w:space="0"/>
              <w:bottom w:val="single" w:color="auto" w:sz="4" w:space="0"/>
              <w:right w:val="single" w:color="auto" w:sz="4" w:space="0"/>
            </w:tcBorders>
            <w:vAlign w:val="center"/>
          </w:tcPr>
          <w:p w14:paraId="0C9E8F4E">
            <w:pPr>
              <w:ind w:left="-50" w:leftChars="-23" w:right="-68" w:rightChars="-31"/>
              <w:rPr>
                <w:rFonts w:hint="eastAsia" w:ascii="宋体" w:hAnsi="宋体" w:cs="宋体"/>
                <w:color w:val="auto"/>
                <w:sz w:val="24"/>
                <w:szCs w:val="24"/>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14:paraId="7315825B">
            <w:pPr>
              <w:ind w:left="-50" w:leftChars="-23" w:right="-68" w:rightChars="-31"/>
              <w:jc w:val="center"/>
              <w:rPr>
                <w:rFonts w:hint="eastAsia" w:ascii="宋体" w:hAnsi="宋体" w:cs="宋体"/>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vAlign w:val="center"/>
          </w:tcPr>
          <w:p w14:paraId="30BE3920">
            <w:pPr>
              <w:ind w:left="-50" w:leftChars="-23" w:right="-68" w:rightChars="-31"/>
              <w:rPr>
                <w:rFonts w:hint="eastAsia" w:ascii="宋体" w:hAnsi="宋体" w:cs="宋体"/>
                <w:color w:val="auto"/>
                <w:sz w:val="24"/>
                <w:szCs w:val="24"/>
                <w:highlight w:val="none"/>
              </w:rPr>
            </w:pPr>
          </w:p>
        </w:tc>
        <w:tc>
          <w:tcPr>
            <w:tcW w:w="1357" w:type="dxa"/>
            <w:tcBorders>
              <w:top w:val="single" w:color="auto" w:sz="4" w:space="0"/>
              <w:left w:val="single" w:color="auto" w:sz="4" w:space="0"/>
              <w:bottom w:val="single" w:color="auto" w:sz="4" w:space="0"/>
              <w:right w:val="single" w:color="auto" w:sz="4" w:space="0"/>
            </w:tcBorders>
            <w:vAlign w:val="center"/>
          </w:tcPr>
          <w:p w14:paraId="1A9434AC">
            <w:pPr>
              <w:ind w:left="-50" w:leftChars="-23" w:right="-68" w:rightChars="-31"/>
              <w:jc w:val="center"/>
              <w:rPr>
                <w:rFonts w:hint="eastAsia" w:ascii="宋体" w:hAnsi="宋体" w:cs="宋体"/>
                <w:color w:val="auto"/>
                <w:sz w:val="24"/>
                <w:szCs w:val="24"/>
                <w:highlight w:val="none"/>
              </w:rPr>
            </w:pPr>
          </w:p>
        </w:tc>
      </w:tr>
      <w:tr w14:paraId="7A4CF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73" w:type="dxa"/>
            <w:gridSpan w:val="4"/>
            <w:tcBorders>
              <w:top w:val="single" w:color="auto" w:sz="4" w:space="0"/>
              <w:left w:val="single" w:color="auto" w:sz="4" w:space="0"/>
              <w:bottom w:val="single" w:color="auto" w:sz="4" w:space="0"/>
              <w:right w:val="single" w:color="auto" w:sz="4" w:space="0"/>
            </w:tcBorders>
            <w:vAlign w:val="center"/>
          </w:tcPr>
          <w:p w14:paraId="7F84F427">
            <w:pPr>
              <w:ind w:left="-50" w:leftChars="-23" w:right="-68" w:rightChars="-31"/>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合计</w:t>
            </w:r>
          </w:p>
        </w:tc>
        <w:tc>
          <w:tcPr>
            <w:tcW w:w="2673" w:type="dxa"/>
            <w:gridSpan w:val="2"/>
            <w:tcBorders>
              <w:top w:val="single" w:color="auto" w:sz="4" w:space="0"/>
              <w:left w:val="single" w:color="auto" w:sz="4" w:space="0"/>
              <w:bottom w:val="single" w:color="auto" w:sz="4" w:space="0"/>
              <w:right w:val="single" w:color="auto" w:sz="4" w:space="0"/>
            </w:tcBorders>
            <w:vAlign w:val="center"/>
          </w:tcPr>
          <w:p w14:paraId="3AD47E12">
            <w:pPr>
              <w:ind w:left="-50" w:leftChars="-23" w:right="-68" w:rightChars="-31"/>
              <w:rPr>
                <w:rFonts w:hint="eastAsia" w:ascii="宋体" w:hAnsi="宋体" w:cs="宋体"/>
                <w:color w:val="auto"/>
                <w:sz w:val="24"/>
                <w:szCs w:val="24"/>
                <w:highlight w:val="none"/>
              </w:rPr>
            </w:pPr>
          </w:p>
        </w:tc>
      </w:tr>
    </w:tbl>
    <w:p w14:paraId="0F555AFF">
      <w:pPr>
        <w:keepNext w:val="0"/>
        <w:keepLines w:val="0"/>
        <w:pageBreakBefore w:val="0"/>
        <w:widowControl/>
        <w:kinsoku/>
        <w:wordWrap/>
        <w:overflowPunct/>
        <w:topLinePunct w:val="0"/>
        <w:autoSpaceDE/>
        <w:autoSpaceDN/>
        <w:bidi w:val="0"/>
        <w:adjustRightInd/>
        <w:snapToGrid/>
        <w:spacing w:after="0" w:line="440" w:lineRule="exact"/>
        <w:ind w:left="1049" w:hanging="1048" w:hangingChars="437"/>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说明： 1．币种单位与《报价一览表》一致，单位为“元”。</w:t>
      </w:r>
    </w:p>
    <w:p w14:paraId="019F8845">
      <w:pPr>
        <w:keepNext w:val="0"/>
        <w:keepLines w:val="0"/>
        <w:pageBreakBefore w:val="0"/>
        <w:widowControl/>
        <w:kinsoku/>
        <w:wordWrap/>
        <w:overflowPunct/>
        <w:topLinePunct w:val="0"/>
        <w:autoSpaceDE/>
        <w:autoSpaceDN/>
        <w:bidi w:val="0"/>
        <w:adjustRightInd/>
        <w:snapToGrid/>
        <w:spacing w:after="0" w:line="440" w:lineRule="exact"/>
        <w:ind w:left="1095" w:leftChars="339" w:hanging="350" w:hangingChars="146"/>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2．应根据采购清单进行分项报价，报价范围应包含全部采购内容。报价明细表合计应与《报价一览表》中的投标总报价一致。</w:t>
      </w:r>
    </w:p>
    <w:p w14:paraId="217D5879">
      <w:pPr>
        <w:keepNext w:val="0"/>
        <w:keepLines w:val="0"/>
        <w:pageBreakBefore w:val="0"/>
        <w:widowControl/>
        <w:kinsoku/>
        <w:wordWrap/>
        <w:overflowPunct/>
        <w:topLinePunct w:val="0"/>
        <w:autoSpaceDE/>
        <w:autoSpaceDN/>
        <w:bidi w:val="0"/>
        <w:adjustRightInd/>
        <w:snapToGrid/>
        <w:spacing w:after="0" w:line="440" w:lineRule="exact"/>
        <w:ind w:left="1095" w:leftChars="339" w:hanging="350" w:hangingChars="146"/>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3．未提供详细的服务（工程或货物）分项报价表，导致的后果由供应商自行承担。</w:t>
      </w:r>
    </w:p>
    <w:p w14:paraId="1AEC0870">
      <w:pPr>
        <w:ind w:left="950" w:hanging="950" w:hangingChars="396"/>
        <w:rPr>
          <w:rFonts w:hint="eastAsia" w:ascii="宋体" w:hAnsi="宋体" w:cs="宋体"/>
          <w:color w:val="auto"/>
          <w:sz w:val="24"/>
          <w:szCs w:val="24"/>
          <w:highlight w:val="none"/>
        </w:rPr>
      </w:pPr>
    </w:p>
    <w:p w14:paraId="4FA7E12E">
      <w:pPr>
        <w:ind w:left="950" w:hanging="950" w:hangingChars="396"/>
        <w:rPr>
          <w:rFonts w:hint="eastAsia" w:ascii="宋体" w:hAnsi="宋体" w:cs="宋体"/>
          <w:color w:val="auto"/>
          <w:sz w:val="24"/>
          <w:szCs w:val="24"/>
          <w:highlight w:val="none"/>
        </w:rPr>
      </w:pPr>
    </w:p>
    <w:p w14:paraId="58EBEB65">
      <w:pPr>
        <w:ind w:left="950" w:hanging="950" w:hangingChars="396"/>
        <w:rPr>
          <w:rFonts w:hint="eastAsia" w:ascii="宋体" w:hAnsi="宋体" w:cs="宋体"/>
          <w:color w:val="auto"/>
          <w:sz w:val="24"/>
          <w:szCs w:val="24"/>
          <w:highlight w:val="none"/>
        </w:rPr>
      </w:pPr>
    </w:p>
    <w:p w14:paraId="27D45E0F">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3316" w:firstLineChars="1382"/>
        <w:textAlignment w:val="auto"/>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供应商名称（公章）：</w:t>
      </w:r>
      <w:r>
        <w:rPr>
          <w:rFonts w:hint="eastAsia" w:ascii="宋体" w:hAnsi="宋体" w:cs="宋体"/>
          <w:bCs/>
          <w:color w:val="auto"/>
          <w:sz w:val="24"/>
          <w:szCs w:val="24"/>
          <w:highlight w:val="none"/>
          <w:u w:val="single"/>
        </w:rPr>
        <w:t xml:space="preserve">                          </w:t>
      </w:r>
    </w:p>
    <w:p w14:paraId="3903B5E9">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3316" w:firstLineChars="1382"/>
        <w:textAlignment w:val="auto"/>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lang w:val="zh-CN"/>
        </w:rPr>
        <w:t>法定代表人（签章）：</w:t>
      </w:r>
      <w:r>
        <w:rPr>
          <w:rFonts w:hint="eastAsia" w:ascii="宋体" w:hAnsi="宋体" w:cs="宋体"/>
          <w:bCs/>
          <w:color w:val="auto"/>
          <w:sz w:val="24"/>
          <w:szCs w:val="24"/>
          <w:highlight w:val="none"/>
          <w:u w:val="single"/>
        </w:rPr>
        <w:t xml:space="preserve">                  </w:t>
      </w:r>
    </w:p>
    <w:p w14:paraId="761B1D1B">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firstLine="3316" w:firstLineChars="1382"/>
        <w:textAlignment w:val="auto"/>
        <w:rPr>
          <w:rFonts w:hint="eastAsia" w:ascii="宋体" w:hAnsi="宋体" w:cs="宋体"/>
          <w:color w:val="auto"/>
          <w:sz w:val="24"/>
          <w:szCs w:val="24"/>
          <w:highlight w:val="none"/>
        </w:rPr>
        <w:sectPr>
          <w:pgSz w:w="11906" w:h="16838"/>
          <w:pgMar w:top="1134" w:right="1191" w:bottom="1134" w:left="1191" w:header="851" w:footer="624" w:gutter="0"/>
          <w:pgNumType w:fmt="decimal"/>
          <w:cols w:space="720" w:num="1"/>
          <w:docGrid w:type="linesAndChars" w:linePitch="312" w:charSpace="0"/>
        </w:sect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31C32E9F">
      <w:pPr>
        <w:numPr>
          <w:ilvl w:val="0"/>
          <w:numId w:val="61"/>
        </w:numPr>
        <w:tabs>
          <w:tab w:val="left" w:pos="426"/>
        </w:tabs>
        <w:spacing w:after="0" w:line="440" w:lineRule="exact"/>
        <w:ind w:left="0" w:firstLine="0"/>
        <w:contextualSpacing/>
        <w:jc w:val="both"/>
        <w:outlineLvl w:val="1"/>
        <w:rPr>
          <w:rFonts w:hint="eastAsia" w:ascii="宋体" w:hAnsi="宋体" w:cs="宋体"/>
          <w:color w:val="auto"/>
          <w:kern w:val="2"/>
          <w:sz w:val="24"/>
          <w:szCs w:val="24"/>
          <w:highlight w:val="none"/>
        </w:rPr>
      </w:pPr>
      <w:r>
        <w:rPr>
          <w:rFonts w:hint="eastAsia" w:ascii="宋体" w:hAnsi="宋体" w:cs="宋体"/>
          <w:color w:val="auto"/>
          <w:sz w:val="24"/>
          <w:szCs w:val="24"/>
          <w:highlight w:val="none"/>
        </w:rPr>
        <w:t>法定代表人身份证明书</w:t>
      </w:r>
    </w:p>
    <w:p w14:paraId="2497A53C">
      <w:pPr>
        <w:spacing w:after="0" w:line="440" w:lineRule="exact"/>
        <w:rPr>
          <w:rFonts w:hint="eastAsia" w:ascii="宋体" w:hAnsi="宋体" w:cs="宋体"/>
          <w:color w:val="auto"/>
          <w:sz w:val="24"/>
          <w:szCs w:val="24"/>
          <w:highlight w:val="none"/>
        </w:rPr>
      </w:pPr>
    </w:p>
    <w:p w14:paraId="77AD18A2">
      <w:pPr>
        <w:spacing w:line="440" w:lineRule="exact"/>
        <w:jc w:val="center"/>
        <w:rPr>
          <w:rFonts w:hint="eastAsia" w:ascii="宋体" w:hAnsi="宋体" w:cs="宋体"/>
          <w:b/>
          <w:color w:val="auto"/>
          <w:sz w:val="24"/>
          <w:szCs w:val="24"/>
          <w:highlight w:val="none"/>
        </w:rPr>
      </w:pPr>
      <w:bookmarkStart w:id="168" w:name="_Toc494702280"/>
      <w:bookmarkStart w:id="169" w:name="_Toc494665010"/>
      <w:bookmarkStart w:id="170" w:name="_Toc494665563"/>
      <w:bookmarkStart w:id="171" w:name="_Toc494745327"/>
      <w:bookmarkStart w:id="172" w:name="_Toc236473303"/>
      <w:bookmarkStart w:id="173" w:name="_Toc494721110"/>
      <w:bookmarkStart w:id="174" w:name="_Toc494665960"/>
      <w:bookmarkStart w:id="175" w:name="_Toc238276247"/>
      <w:r>
        <w:rPr>
          <w:rFonts w:hint="eastAsia" w:ascii="宋体" w:hAnsi="宋体" w:cs="宋体"/>
          <w:b/>
          <w:color w:val="auto"/>
          <w:sz w:val="24"/>
          <w:szCs w:val="24"/>
          <w:highlight w:val="none"/>
        </w:rPr>
        <w:t>法定代表人身份证明书</w:t>
      </w:r>
    </w:p>
    <w:p w14:paraId="6BBA2ACB">
      <w:pPr>
        <w:spacing w:after="0" w:line="440" w:lineRule="exact"/>
        <w:rPr>
          <w:rFonts w:hint="eastAsia" w:ascii="宋体" w:hAnsi="宋体" w:cs="宋体"/>
          <w:color w:val="auto"/>
          <w:sz w:val="24"/>
          <w:szCs w:val="24"/>
          <w:highlight w:val="none"/>
        </w:rPr>
      </w:pPr>
    </w:p>
    <w:p w14:paraId="75ADA71F">
      <w:pPr>
        <w:spacing w:after="0" w:line="44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企业名称：</w:t>
      </w:r>
      <w:r>
        <w:rPr>
          <w:rFonts w:hint="eastAsia" w:ascii="宋体" w:hAnsi="宋体" w:cs="宋体"/>
          <w:color w:val="auto"/>
          <w:sz w:val="24"/>
          <w:szCs w:val="24"/>
          <w:highlight w:val="none"/>
          <w:u w:val="single"/>
        </w:rPr>
        <w:t xml:space="preserve">                           </w:t>
      </w:r>
    </w:p>
    <w:p w14:paraId="09679F91">
      <w:pPr>
        <w:spacing w:after="0"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企业性质：</w:t>
      </w:r>
      <w:r>
        <w:rPr>
          <w:rFonts w:hint="eastAsia" w:ascii="宋体" w:hAnsi="宋体" w:cs="宋体"/>
          <w:color w:val="auto"/>
          <w:sz w:val="24"/>
          <w:szCs w:val="24"/>
          <w:highlight w:val="none"/>
          <w:u w:val="single"/>
        </w:rPr>
        <w:t xml:space="preserve">                           </w:t>
      </w:r>
    </w:p>
    <w:p w14:paraId="35D34C00">
      <w:pPr>
        <w:spacing w:after="0"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 xml:space="preserve">                           </w:t>
      </w:r>
    </w:p>
    <w:p w14:paraId="2E1D6D89">
      <w:pPr>
        <w:spacing w:after="0"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成立时间：</w:t>
      </w:r>
      <w:r>
        <w:rPr>
          <w:rFonts w:hint="eastAsia" w:ascii="宋体" w:hAnsi="宋体" w:cs="宋体"/>
          <w:color w:val="auto"/>
          <w:sz w:val="24"/>
          <w:szCs w:val="24"/>
          <w:highlight w:val="none"/>
          <w:u w:val="single"/>
        </w:rPr>
        <w:t xml:space="preserve">                           </w:t>
      </w:r>
    </w:p>
    <w:p w14:paraId="6710E00A">
      <w:pPr>
        <w:spacing w:after="0"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经营期限：</w:t>
      </w:r>
      <w:r>
        <w:rPr>
          <w:rFonts w:hint="eastAsia" w:ascii="宋体" w:hAnsi="宋体" w:cs="宋体"/>
          <w:color w:val="auto"/>
          <w:sz w:val="24"/>
          <w:szCs w:val="24"/>
          <w:highlight w:val="none"/>
          <w:u w:val="single"/>
        </w:rPr>
        <w:t xml:space="preserve">                           </w:t>
      </w:r>
    </w:p>
    <w:p w14:paraId="121D7A8B">
      <w:pPr>
        <w:spacing w:after="0"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r>
        <w:rPr>
          <w:rFonts w:hint="eastAsia" w:ascii="宋体" w:hAnsi="宋体" w:cs="宋体"/>
          <w:color w:val="auto"/>
          <w:sz w:val="24"/>
          <w:szCs w:val="24"/>
          <w:highlight w:val="non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性别：</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职务：</w:t>
      </w:r>
      <w:r>
        <w:rPr>
          <w:rFonts w:hint="eastAsia" w:ascii="宋体" w:hAnsi="宋体" w:cs="宋体"/>
          <w:color w:val="auto"/>
          <w:sz w:val="24"/>
          <w:szCs w:val="24"/>
          <w:highlight w:val="none"/>
          <w:u w:val="single"/>
        </w:rPr>
        <w:t xml:space="preserve">         </w:t>
      </w:r>
    </w:p>
    <w:p w14:paraId="3B673AAA">
      <w:pPr>
        <w:spacing w:after="0"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（企业名称）的法定代表人。</w:t>
      </w:r>
    </w:p>
    <w:p w14:paraId="1E495322">
      <w:pPr>
        <w:spacing w:after="0"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特此证明。</w:t>
      </w:r>
    </w:p>
    <w:p w14:paraId="358C9FBD">
      <w:pPr>
        <w:spacing w:after="0" w:line="440" w:lineRule="exact"/>
        <w:rPr>
          <w:rFonts w:hint="eastAsia" w:ascii="宋体" w:hAnsi="宋体" w:cs="宋体"/>
          <w:color w:val="auto"/>
          <w:sz w:val="24"/>
          <w:szCs w:val="24"/>
          <w:highlight w:val="none"/>
        </w:rPr>
      </w:pPr>
    </w:p>
    <w:p w14:paraId="60EFEE13">
      <w:pPr>
        <w:adjustRightInd w:val="0"/>
        <w:snapToGrid w:val="0"/>
        <w:spacing w:after="0" w:line="440" w:lineRule="exact"/>
        <w:ind w:firstLine="4200" w:firstLineChars="1750"/>
        <w:rPr>
          <w:rFonts w:hint="eastAsia" w:ascii="宋体" w:hAnsi="宋体" w:cs="宋体"/>
          <w:color w:val="auto"/>
          <w:sz w:val="24"/>
          <w:szCs w:val="24"/>
          <w:highlight w:val="none"/>
        </w:rPr>
      </w:pPr>
      <w:r>
        <w:rPr>
          <w:rFonts w:hint="eastAsia" w:ascii="宋体" w:hAnsi="宋体" w:cs="宋体"/>
          <w:color w:val="auto"/>
          <w:sz w:val="24"/>
          <w:szCs w:val="24"/>
          <w:highlight w:val="none"/>
        </w:rPr>
        <w:t>供应商名称（公章）：</w:t>
      </w:r>
      <w:r>
        <w:rPr>
          <w:rFonts w:hint="eastAsia" w:ascii="宋体" w:hAnsi="宋体" w:cs="宋体"/>
          <w:color w:val="auto"/>
          <w:sz w:val="24"/>
          <w:szCs w:val="24"/>
          <w:highlight w:val="none"/>
          <w:u w:val="single"/>
        </w:rPr>
        <w:t xml:space="preserve">              </w:t>
      </w:r>
    </w:p>
    <w:p w14:paraId="78CE5306">
      <w:pPr>
        <w:adjustRightInd w:val="0"/>
        <w:snapToGrid w:val="0"/>
        <w:spacing w:after="0" w:line="440" w:lineRule="exact"/>
        <w:ind w:firstLine="4200" w:firstLineChars="1750"/>
        <w:rPr>
          <w:rFonts w:hint="eastAsia" w:ascii="宋体" w:hAnsi="宋体" w:cs="宋体"/>
          <w:color w:val="auto"/>
          <w:sz w:val="24"/>
          <w:szCs w:val="24"/>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6304ED70">
      <w:pPr>
        <w:adjustRightInd w:val="0"/>
        <w:snapToGrid w:val="0"/>
        <w:spacing w:after="0" w:line="440" w:lineRule="exact"/>
        <w:jc w:val="center"/>
        <w:rPr>
          <w:rFonts w:hint="eastAsia" w:ascii="宋体" w:hAnsi="宋体" w:cs="宋体"/>
          <w:color w:val="auto"/>
          <w:sz w:val="24"/>
          <w:szCs w:val="24"/>
          <w:highlight w:val="none"/>
        </w:rPr>
      </w:pPr>
    </w:p>
    <w:p w14:paraId="5D8AEAA2">
      <w:pPr>
        <w:adjustRightInd w:val="0"/>
        <w:snapToGrid w:val="0"/>
        <w:spacing w:after="0"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3024505</wp:posOffset>
                </wp:positionH>
                <wp:positionV relativeFrom="paragraph">
                  <wp:posOffset>170815</wp:posOffset>
                </wp:positionV>
                <wp:extent cx="3000375" cy="1714500"/>
                <wp:effectExtent l="4445" t="4445" r="5080" b="14605"/>
                <wp:wrapNone/>
                <wp:docPr id="27"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scaled="0"/>
                        </a:gradFill>
                        <a:ln w="9525">
                          <a:solidFill>
                            <a:srgbClr val="000000"/>
                          </a:solidFill>
                          <a:miter lim="800000"/>
                        </a:ln>
                      </wps:spPr>
                      <wps:txbx>
                        <w:txbxContent>
                          <w:p w14:paraId="58D7B495">
                            <w:pPr>
                              <w:ind w:firstLine="480"/>
                              <w:rPr>
                                <w:sz w:val="24"/>
                              </w:rPr>
                            </w:pPr>
                            <w:permStart w:id="0" w:edGrp="everyone"/>
                            <w:r>
                              <w:rPr>
                                <w:rFonts w:hint="eastAsia"/>
                                <w:sz w:val="24"/>
                              </w:rPr>
                              <w:t>附：法定代表人身份证复印件（反面）</w:t>
                            </w:r>
                            <w:permEnd w:id="0"/>
                          </w:p>
                        </w:txbxContent>
                      </wps:txbx>
                      <wps:bodyPr rot="0" vert="horz" wrap="square" anchor="t" anchorCtr="0" upright="1"/>
                    </wps:wsp>
                  </a:graphicData>
                </a:graphic>
              </wp:anchor>
            </w:drawing>
          </mc:Choice>
          <mc:Fallback>
            <w:pict>
              <v:shape id="_x0000_s1026" o:spid="_x0000_s1026" o:spt="202" type="#_x0000_t202" style="position:absolute;left:0pt;margin-left:238.15pt;margin-top:13.45pt;height:135pt;width:236.25pt;z-index:251661312;mso-width-relative:page;mso-height-relative:page;" fillcolor="#FFFFFF" filled="t" stroked="t" coordsize="21600,21600" o:gfxdata="UEsDBAoAAAAAAIdO4kAAAAAAAAAAAAAAAAAEAAAAZHJzL1BLAwQUAAAACACHTuJAwVlAjtgAAAAK&#10;AQAADwAAAGRycy9kb3ducmV2LnhtbE2PPU/DMBCGdyT+g3VILKi1U6qQpHEqhMTQDVoGRie+JlHj&#10;c4jdD/j1HFMZ771H70e5vrhBnHAKvScNyVyBQGq87anV8LF7nWUgQjRkzeAJNXxjgHV1e1Oawvoz&#10;veNpG1vBJhQKo6GLcSykDE2HzoS5H5H4t/eTM5HPqZV2Mmc2d4NcKJVKZ3rihM6M+NJhc9genYaH&#10;r0w5h/Xn22af/BzGTbp7JqP1/V2iViAiXuIVhr/6XB0q7lT7I9kgBg3Lp/SRUQ2LNAfBQL7MeEvN&#10;Qs6KrEr5f0L1C1BLAwQUAAAACACHTuJAuaXa1VoCAADBBAAADgAAAGRycy9lMm9Eb2MueG1srVTN&#10;jtMwEL4j8Q6W72zSLmWXqOkKulouy4+0IM6u4yQWtsd43CbLA8AbcOLCnefqczBx2m5ZJLQHcoic&#10;seebb75vnPlFbw3bqIAaXMknJzlnykmotGtK/uH91ZNzzjAKVwkDTpX8ViG/WDx+NO98oabQgqlU&#10;YATisOh8ydsYfZFlKFtlBZ6AV442awhWRPoMTVYF0RG6Ndk0z59lHYTKB5AKkaKX4ybfIYaHAEJd&#10;a6kuQa6tcnFEDcqISC1hqz3yRWJb10rGt3WNKjJTcuo0pjcVofVqeGeLuSiaIHyr5Y6CeAiFez1Z&#10;oR0VPUBdiijYOui/oKyWARDqeCLBZmMjSRHqYpLf0+amFV6lXkhq9AfR8f/Byjebd4HpquTTM86c&#10;sOT49vu37Y9f259fGcVIoM5jQeduPJ2M/UvoaWxSs+ivQX5C5mDZCteoFyFA1ypREcHJkJkdpY44&#10;OICsutdQUSGxjpCA+jrYQT3SgxE6mXN7MEf1kUkKnuZ5fno240zS3uRs8nSWJ/syUezTfcD4SoFl&#10;w6LkgdxP8GJzjXGgI4r9kZ1X1ZU2hgWIH3Vsk9xD3bSJlDMumAdqaAxjaFZLE9hG0EBdpSc1Ss7j&#10;8ekJsSV+Q+jfKcSp2Zcy2jHSMQmAUhhFtux7pBlNZAdE41hX8uez6WwsAEYf9v6olkjsEfD4mNWR&#10;brHRtuTnI9VRH+N2rg1GjZbFftXvpmAF1S35R3oljvQXoUUL4QtnHd2hkuPntQiKUxeSwiWP++Uy&#10;jpdu7YNuWsq6mw+a7GTN7hYOV+f4O/G5+/M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BWUCO&#10;2AAAAAoBAAAPAAAAAAAAAAEAIAAAACIAAABkcnMvZG93bnJldi54bWxQSwECFAAUAAAACACHTuJA&#10;uaXa1VoCAADBBAAADgAAAAAAAAABACAAAAAnAQAAZHJzL2Uyb0RvYy54bWxQSwUGAAAAAAYABgBZ&#10;AQAA8wUAAAAA&#10;">
                <v:fill type="gradient" on="t" color2="#FFFFFF" angle="90" focus="100%" focussize="0,0">
                  <o:fill type="gradientUnscaled" v:ext="backwardCompatible"/>
                </v:fill>
                <v:stroke color="#000000" miterlimit="8" joinstyle="miter"/>
                <v:imagedata o:title=""/>
                <o:lock v:ext="edit" aspectratio="f"/>
                <v:textbox>
                  <w:txbxContent>
                    <w:p w14:paraId="58D7B495">
                      <w:pPr>
                        <w:ind w:firstLine="480"/>
                        <w:rPr>
                          <w:sz w:val="24"/>
                        </w:rPr>
                      </w:pPr>
                      <w:permStart w:id="0" w:edGrp="everyone"/>
                      <w:r>
                        <w:rPr>
                          <w:rFonts w:hint="eastAsia"/>
                          <w:sz w:val="24"/>
                        </w:rPr>
                        <w:t>附：法定代表人身份证复印件（反面）</w:t>
                      </w:r>
                      <w:permEnd w:id="0"/>
                    </w:p>
                  </w:txbxContent>
                </v:textbox>
              </v:shape>
            </w:pict>
          </mc:Fallback>
        </mc:AlternateContent>
      </w:r>
      <w:r>
        <w:rPr>
          <w:rFonts w:hint="eastAsia" w:ascii="宋体" w:hAnsi="宋体" w:cs="宋体"/>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-52070</wp:posOffset>
                </wp:positionH>
                <wp:positionV relativeFrom="paragraph">
                  <wp:posOffset>189230</wp:posOffset>
                </wp:positionV>
                <wp:extent cx="3000375" cy="1714500"/>
                <wp:effectExtent l="4445" t="4445" r="5080" b="14605"/>
                <wp:wrapNone/>
                <wp:docPr id="28"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scaled="0"/>
                        </a:gradFill>
                        <a:ln w="9525">
                          <a:solidFill>
                            <a:srgbClr val="000000"/>
                          </a:solidFill>
                          <a:miter lim="800000"/>
                        </a:ln>
                      </wps:spPr>
                      <wps:txbx>
                        <w:txbxContent>
                          <w:p w14:paraId="1A75D25F">
                            <w:pPr>
                              <w:ind w:firstLine="480"/>
                              <w:rPr>
                                <w:sz w:val="24"/>
                              </w:rPr>
                            </w:pPr>
                            <w:permStart w:id="1" w:edGrp="everyone"/>
                            <w:r>
                              <w:rPr>
                                <w:rFonts w:hint="eastAsia"/>
                                <w:sz w:val="24"/>
                              </w:rPr>
                              <w:t>附：法定代表人身份证复印件（正面）</w:t>
                            </w:r>
                            <w:permEnd w:id="1"/>
                          </w:p>
                        </w:txbxContent>
                      </wps:txbx>
                      <wps:bodyPr rot="0" vert="horz" wrap="square" anchor="t" anchorCtr="0" upright="1"/>
                    </wps:wsp>
                  </a:graphicData>
                </a:graphic>
              </wp:anchor>
            </w:drawing>
          </mc:Choice>
          <mc:Fallback>
            <w:pict>
              <v:shape id="_x0000_s1026" o:spid="_x0000_s1026" o:spt="202" type="#_x0000_t202" style="position:absolute;left:0pt;margin-left:-4.1pt;margin-top:14.9pt;height:135pt;width:236.25pt;z-index:251660288;mso-width-relative:page;mso-height-relative:page;" fillcolor="#FFFFFF" filled="t" stroked="t" coordsize="21600,21600" o:gfxdata="UEsDBAoAAAAAAIdO4kAAAAAAAAAAAAAAAAAEAAAAZHJzL1BLAwQUAAAACACHTuJAWHXpgtcAAAAJ&#10;AQAADwAAAGRycy9kb3ducmV2LnhtbE2PzU7DMBCE70h9B2srcUGtnVBFIcSpEBKH3qDlwNGJt0nU&#10;eB1i9weenu2JHndmNPtNub64QZxwCr0nDclSgUBqvO2p1fC5e1vkIEI0ZM3gCTX8YIB1NbsrTWH9&#10;mT7wtI2t4BIKhdHQxTgWUoamQ2fC0o9I7O395Ezkc2qlncyZy90gU6Uy6UxP/KEzI7522By2R6fh&#10;4TtXzmH99b7ZJ7+HcZPtXshofT9P1DOIiJf4H4YrPqNDxUy1P5INYtCwyFNOakifeAH7q2z1CKK+&#10;CqzIqpS3C6o/UEsDBBQAAAAIAIdO4kDqhyKbWQIAAMEEAAAOAAAAZHJzL2Uyb0RvYy54bWytVM2O&#10;0zAQviPxDpbvbNIuZZeo6Qq6Wi7Lj7Qgzq7jJBa2x3jcJssDwBtw4sKd5+pzMHHablkktAdyiJyx&#10;55tvvm+c+UVvDduogBpcyScnOWfKSai0a0r+4f3Vk3POMApXCQNOlfxWIb9YPH4073yhptCCqVRg&#10;BOKw6HzJ2xh9kWUoW2UFnoBXjjZrCFZE+gxNVgXREbo12TTPn2UdhMoHkAqRopfjJt8hhocAQl1r&#10;qS5Brq1ycUQNyohILWGrPfJFYlvXSsa3dY0qMlNy6jSmNxWh9Wp4Z4u5KJogfKvljoJ4CIV7PVmh&#10;HRU9QF2KKNg66L+grJYBEOp4IsFmYyNJEepikt/T5qYVXqVeSGr0B9Hx/8HKN5t3gemq5FPy3QlL&#10;jm+/f9v++LX9+ZVRjATqPBZ07sbTydi/hJ7GJjWL/hrkJ2QOlq1wjXoRAnStEhURnAyZ2VHqiIMD&#10;yKp7DRUVEusICaivgx3UIz0YoZM5twdzVB+ZpOBpnuenZzPOJO1NziZPZ3myLxPFPt0HjK8UWDYs&#10;Sh7I/QQvNtcYBzqi2B/ZeVVdaWNYgPhRxzbJPdRNm0g544J5oIbGMIZmtTSBbQQN1FV6UqPkPB6f&#10;nhBb4jeE/p1CnJp9KaMdIx2TACiFUWTLvkea0UR2QDSOdSV/PpvOxgJg9GHvj2qJxB4Bj49ZHekW&#10;G21Lfj5SHfUxbufaYNRoWexX/W4KVlDdkn+kV+JIfxFatBC+cNbRHSo5fl6LoDh1ISlc8rhfLuN4&#10;6dY+6KalrLv5oMlO1uxu4XB1jr8Tn7s/z+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WHXpgtcA&#10;AAAJAQAADwAAAAAAAAABACAAAAAiAAAAZHJzL2Rvd25yZXYueG1sUEsBAhQAFAAAAAgAh07iQOqH&#10;IptZAgAAwQQAAA4AAAAAAAAAAQAgAAAAJgEAAGRycy9lMm9Eb2MueG1sUEsFBgAAAAAGAAYAWQEA&#10;APEFAAAAAA==&#10;">
                <v:fill type="gradient" on="t" color2="#FFFFFF" angle="90" focus="100%" focussize="0,0">
                  <o:fill type="gradientUnscaled" v:ext="backwardCompatible"/>
                </v:fill>
                <v:stroke color="#000000" miterlimit="8" joinstyle="miter"/>
                <v:imagedata o:title=""/>
                <o:lock v:ext="edit" aspectratio="f"/>
                <v:textbox>
                  <w:txbxContent>
                    <w:p w14:paraId="1A75D25F">
                      <w:pPr>
                        <w:ind w:firstLine="480"/>
                        <w:rPr>
                          <w:sz w:val="24"/>
                        </w:rPr>
                      </w:pPr>
                      <w:permStart w:id="1" w:edGrp="everyone"/>
                      <w:r>
                        <w:rPr>
                          <w:rFonts w:hint="eastAsia"/>
                          <w:sz w:val="24"/>
                        </w:rPr>
                        <w:t>附：法定代表人身份证复印件（正面）</w:t>
                      </w:r>
                      <w:permEnd w:id="1"/>
                    </w:p>
                  </w:txbxContent>
                </v:textbox>
              </v:shape>
            </w:pict>
          </mc:Fallback>
        </mc:AlternateContent>
      </w:r>
    </w:p>
    <w:p w14:paraId="7CB06B04">
      <w:pPr>
        <w:adjustRightInd w:val="0"/>
        <w:snapToGrid w:val="0"/>
        <w:spacing w:after="0" w:line="440" w:lineRule="exact"/>
        <w:jc w:val="center"/>
        <w:rPr>
          <w:rFonts w:hint="eastAsia" w:ascii="宋体" w:hAnsi="宋体" w:cs="宋体"/>
          <w:color w:val="auto"/>
          <w:sz w:val="24"/>
          <w:szCs w:val="24"/>
          <w:highlight w:val="none"/>
        </w:rPr>
      </w:pPr>
    </w:p>
    <w:p w14:paraId="7AF5467E">
      <w:pPr>
        <w:adjustRightInd w:val="0"/>
        <w:snapToGrid w:val="0"/>
        <w:spacing w:after="0" w:line="440" w:lineRule="exact"/>
        <w:jc w:val="center"/>
        <w:rPr>
          <w:rFonts w:hint="eastAsia" w:ascii="宋体" w:hAnsi="宋体" w:cs="宋体"/>
          <w:color w:val="auto"/>
          <w:sz w:val="24"/>
          <w:szCs w:val="24"/>
          <w:highlight w:val="none"/>
        </w:rPr>
      </w:pPr>
    </w:p>
    <w:p w14:paraId="0170E1DB">
      <w:pPr>
        <w:adjustRightInd w:val="0"/>
        <w:snapToGrid w:val="0"/>
        <w:spacing w:after="0" w:line="440" w:lineRule="exact"/>
        <w:jc w:val="center"/>
        <w:rPr>
          <w:rFonts w:hint="eastAsia" w:ascii="宋体" w:hAnsi="宋体" w:cs="宋体"/>
          <w:color w:val="auto"/>
          <w:sz w:val="24"/>
          <w:szCs w:val="24"/>
          <w:highlight w:val="none"/>
        </w:rPr>
      </w:pPr>
    </w:p>
    <w:p w14:paraId="06BC8B72">
      <w:pPr>
        <w:adjustRightInd w:val="0"/>
        <w:snapToGrid w:val="0"/>
        <w:spacing w:after="0" w:line="440" w:lineRule="exact"/>
        <w:rPr>
          <w:rFonts w:hint="eastAsia" w:ascii="宋体" w:hAnsi="宋体" w:cs="宋体"/>
          <w:color w:val="auto"/>
          <w:sz w:val="24"/>
          <w:szCs w:val="24"/>
          <w:highlight w:val="none"/>
        </w:rPr>
      </w:pPr>
    </w:p>
    <w:p w14:paraId="6A70C849">
      <w:pPr>
        <w:adjustRightInd w:val="0"/>
        <w:snapToGrid w:val="0"/>
        <w:spacing w:after="0" w:line="440" w:lineRule="exact"/>
        <w:rPr>
          <w:rFonts w:hint="eastAsia" w:ascii="宋体" w:hAnsi="宋体" w:cs="宋体"/>
          <w:color w:val="auto"/>
          <w:sz w:val="24"/>
          <w:szCs w:val="24"/>
          <w:highlight w:val="none"/>
        </w:rPr>
      </w:pPr>
    </w:p>
    <w:p w14:paraId="1FAEEC8F">
      <w:pPr>
        <w:adjustRightInd w:val="0"/>
        <w:snapToGrid w:val="0"/>
        <w:spacing w:after="0" w:line="440" w:lineRule="exact"/>
        <w:rPr>
          <w:rFonts w:hint="eastAsia" w:ascii="宋体" w:hAnsi="宋体" w:cs="宋体"/>
          <w:color w:val="auto"/>
          <w:sz w:val="24"/>
          <w:szCs w:val="24"/>
          <w:highlight w:val="none"/>
        </w:rPr>
      </w:pPr>
    </w:p>
    <w:p w14:paraId="3C874591">
      <w:pPr>
        <w:adjustRightInd w:val="0"/>
        <w:snapToGrid w:val="0"/>
        <w:spacing w:after="0" w:line="440" w:lineRule="exact"/>
        <w:rPr>
          <w:rFonts w:hint="eastAsia" w:ascii="宋体" w:hAnsi="宋体" w:cs="宋体"/>
          <w:color w:val="auto"/>
          <w:sz w:val="24"/>
          <w:szCs w:val="24"/>
          <w:highlight w:val="none"/>
        </w:rPr>
      </w:pPr>
    </w:p>
    <w:p w14:paraId="7423534A">
      <w:pPr>
        <w:adjustRightInd w:val="0"/>
        <w:snapToGrid w:val="0"/>
        <w:spacing w:after="0" w:line="440" w:lineRule="exact"/>
        <w:rPr>
          <w:rFonts w:hint="eastAsia" w:ascii="宋体" w:hAnsi="宋体" w:cs="宋体"/>
          <w:color w:val="auto"/>
          <w:sz w:val="24"/>
          <w:szCs w:val="24"/>
          <w:highlight w:val="none"/>
        </w:rPr>
      </w:pPr>
    </w:p>
    <w:p w14:paraId="3DC145DD">
      <w:pPr>
        <w:adjustRightInd w:val="0"/>
        <w:snapToGrid w:val="0"/>
        <w:spacing w:after="0" w:line="440" w:lineRule="exact"/>
        <w:rPr>
          <w:rFonts w:hint="eastAsia" w:ascii="宋体" w:hAnsi="宋体" w:cs="宋体"/>
          <w:color w:val="auto"/>
          <w:sz w:val="24"/>
          <w:szCs w:val="24"/>
          <w:highlight w:val="none"/>
        </w:rPr>
      </w:pPr>
    </w:p>
    <w:p w14:paraId="77AD244D">
      <w:pPr>
        <w:adjustRightInd w:val="0"/>
        <w:snapToGrid w:val="0"/>
        <w:spacing w:after="0" w:line="440" w:lineRule="exact"/>
        <w:rPr>
          <w:rFonts w:hint="eastAsia" w:ascii="宋体" w:hAnsi="宋体" w:cs="宋体"/>
          <w:color w:val="auto"/>
          <w:sz w:val="24"/>
          <w:szCs w:val="24"/>
          <w:highlight w:val="none"/>
        </w:rPr>
      </w:pPr>
    </w:p>
    <w:p w14:paraId="004BBA0D">
      <w:pPr>
        <w:adjustRightInd w:val="0"/>
        <w:snapToGrid w:val="0"/>
        <w:spacing w:after="0" w:line="440" w:lineRule="exact"/>
        <w:rPr>
          <w:rFonts w:hint="eastAsia" w:ascii="宋体" w:hAnsi="宋体" w:cs="宋体"/>
          <w:color w:val="auto"/>
          <w:sz w:val="24"/>
          <w:szCs w:val="24"/>
          <w:highlight w:val="none"/>
        </w:rPr>
      </w:pPr>
    </w:p>
    <w:p w14:paraId="562911FC">
      <w:pPr>
        <w:adjustRightInd w:val="0"/>
        <w:snapToGrid w:val="0"/>
        <w:spacing w:after="0" w:line="440" w:lineRule="exact"/>
        <w:rPr>
          <w:rFonts w:hint="eastAsia" w:ascii="宋体" w:hAnsi="宋体" w:cs="宋体"/>
          <w:color w:val="auto"/>
          <w:sz w:val="24"/>
          <w:szCs w:val="24"/>
          <w:highlight w:val="none"/>
        </w:rPr>
      </w:pPr>
    </w:p>
    <w:p w14:paraId="46FCCFE8">
      <w:pPr>
        <w:adjustRightInd w:val="0"/>
        <w:snapToGrid w:val="0"/>
        <w:spacing w:after="0"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说明：适用于供应商不授权代理人，而由法定代表人直接参加响应并签署响应文件的情况。</w:t>
      </w:r>
    </w:p>
    <w:p w14:paraId="3A74D91A">
      <w:pPr>
        <w:adjustRightInd w:val="0"/>
        <w:snapToGrid w:val="0"/>
        <w:spacing w:after="0" w:line="44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如供应商为自然人，可在此页作出说明并粘贴本人身份证复印件即可。</w:t>
      </w:r>
    </w:p>
    <w:p w14:paraId="1A4EAB46">
      <w:pPr>
        <w:adjustRightInd w:val="0"/>
        <w:snapToGrid w:val="0"/>
        <w:spacing w:line="440" w:lineRule="exact"/>
        <w:rPr>
          <w:rFonts w:hint="eastAsia" w:ascii="宋体" w:hAnsi="宋体" w:cs="宋体"/>
          <w:color w:val="auto"/>
          <w:sz w:val="24"/>
          <w:szCs w:val="24"/>
          <w:highlight w:val="none"/>
        </w:rPr>
      </w:pPr>
    </w:p>
    <w:bookmarkEnd w:id="168"/>
    <w:bookmarkEnd w:id="169"/>
    <w:bookmarkEnd w:id="170"/>
    <w:bookmarkEnd w:id="171"/>
    <w:bookmarkEnd w:id="172"/>
    <w:bookmarkEnd w:id="173"/>
    <w:bookmarkEnd w:id="174"/>
    <w:bookmarkEnd w:id="175"/>
    <w:p w14:paraId="2D6E3E87">
      <w:pPr>
        <w:numPr>
          <w:ilvl w:val="0"/>
          <w:numId w:val="61"/>
        </w:numPr>
        <w:tabs>
          <w:tab w:val="left" w:pos="426"/>
        </w:tabs>
        <w:spacing w:after="0" w:line="440" w:lineRule="exact"/>
        <w:ind w:left="0" w:firstLine="0"/>
        <w:contextualSpacing/>
        <w:jc w:val="both"/>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法定代表人授权委托书</w:t>
      </w:r>
    </w:p>
    <w:p w14:paraId="421FA28B">
      <w:pPr>
        <w:spacing w:line="44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法定代表人授权委托书</w:t>
      </w:r>
    </w:p>
    <w:p w14:paraId="28036947">
      <w:pPr>
        <w:rPr>
          <w:rFonts w:hint="eastAsia" w:ascii="宋体" w:hAnsi="宋体"/>
          <w:b/>
          <w:color w:val="auto"/>
          <w:sz w:val="24"/>
          <w:szCs w:val="24"/>
          <w:highlight w:val="none"/>
        </w:rPr>
      </w:pPr>
      <w:r>
        <w:rPr>
          <w:rFonts w:hint="eastAsia" w:ascii="宋体" w:hAnsi="宋体" w:cs="Courier New"/>
          <w:b/>
          <w:color w:val="auto"/>
          <w:sz w:val="24"/>
          <w:szCs w:val="24"/>
          <w:highlight w:val="none"/>
        </w:rPr>
        <w:t>湖北国华项目管理咨询有限公司：</w:t>
      </w:r>
    </w:p>
    <w:p w14:paraId="07909769">
      <w:pPr>
        <w:spacing w:after="0"/>
        <w:ind w:firstLine="480" w:firstLineChars="200"/>
        <w:rPr>
          <w:rFonts w:hint="eastAsia" w:ascii="宋体" w:hAnsi="宋体"/>
          <w:color w:val="auto"/>
          <w:sz w:val="24"/>
          <w:szCs w:val="24"/>
          <w:highlight w:val="none"/>
        </w:rPr>
      </w:pPr>
      <w:r>
        <w:rPr>
          <w:rFonts w:ascii="宋体" w:hAnsi="宋体"/>
          <w:bCs/>
          <w:color w:val="auto"/>
          <w:sz w:val="24"/>
          <w:szCs w:val="24"/>
          <w:highlight w:val="none"/>
          <w:u w:val="single"/>
        </w:rPr>
        <w:t xml:space="preserve">                     </w:t>
      </w:r>
      <w:r>
        <w:rPr>
          <w:rFonts w:hint="eastAsia" w:ascii="宋体" w:hAnsi="宋体"/>
          <w:bCs/>
          <w:color w:val="auto"/>
          <w:sz w:val="24"/>
          <w:szCs w:val="24"/>
          <w:highlight w:val="none"/>
        </w:rPr>
        <w:t>（供应商名称）在下面签名的</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rPr>
        <w:t>（法定代表人姓名）代表本公司授权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同志为我单位参加贵方组织的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项目（项目编号：</w:t>
      </w:r>
      <w:r>
        <w:rPr>
          <w:rFonts w:ascii="宋体" w:hAnsi="宋体"/>
          <w:color w:val="auto"/>
          <w:sz w:val="24"/>
          <w:szCs w:val="24"/>
          <w:highlight w:val="none"/>
        </w:rPr>
        <w:t>______</w:t>
      </w:r>
      <w:r>
        <w:rPr>
          <w:rFonts w:hint="eastAsia" w:ascii="宋体" w:hAnsi="宋体"/>
          <w:color w:val="auto"/>
          <w:sz w:val="24"/>
          <w:szCs w:val="24"/>
          <w:highlight w:val="none"/>
        </w:rPr>
        <w:t>）采购活动的供应商授权代表，全权代表我公司处理在该项目采购活动中的一切事宜。代理期限从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日起至</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日止。</w:t>
      </w:r>
    </w:p>
    <w:p w14:paraId="1D0BCABD">
      <w:pPr>
        <w:spacing w:after="0"/>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授权代表无转委托权。</w:t>
      </w:r>
    </w:p>
    <w:p w14:paraId="4AAF7855">
      <w:pPr>
        <w:spacing w:after="0"/>
        <w:ind w:firstLine="540" w:firstLineChars="225"/>
        <w:rPr>
          <w:rFonts w:hint="eastAsia" w:ascii="宋体" w:hAnsi="宋体"/>
          <w:color w:val="auto"/>
          <w:sz w:val="24"/>
          <w:szCs w:val="24"/>
          <w:highlight w:val="none"/>
        </w:rPr>
      </w:pPr>
      <w:r>
        <w:rPr>
          <w:rFonts w:hint="eastAsia" w:ascii="宋体" w:hAnsi="宋体" w:cs="宋体"/>
          <w:color w:val="auto"/>
          <w:sz w:val="24"/>
          <w:szCs w:val="24"/>
          <w:highlight w:val="none"/>
        </w:rPr>
        <w:t>特此声明。</w:t>
      </w:r>
    </w:p>
    <w:p w14:paraId="594F6CA4">
      <w:pPr>
        <w:spacing w:after="0"/>
        <w:ind w:firstLine="4108" w:firstLineChars="1712"/>
        <w:rPr>
          <w:rFonts w:hint="eastAsia" w:ascii="宋体" w:hAnsi="宋体"/>
          <w:bCs/>
          <w:color w:val="auto"/>
          <w:sz w:val="24"/>
          <w:szCs w:val="24"/>
          <w:highlight w:val="none"/>
        </w:rPr>
      </w:pPr>
    </w:p>
    <w:p w14:paraId="7D4CF333">
      <w:pPr>
        <w:spacing w:after="0"/>
        <w:ind w:firstLine="4108" w:firstLineChars="1712"/>
        <w:rPr>
          <w:rFonts w:hint="eastAsia" w:ascii="宋体" w:hAnsi="宋体"/>
          <w:b/>
          <w:bCs/>
          <w:color w:val="auto"/>
          <w:sz w:val="24"/>
          <w:szCs w:val="24"/>
          <w:highlight w:val="none"/>
          <w:u w:val="single"/>
        </w:rPr>
      </w:pPr>
      <w:r>
        <w:rPr>
          <w:rFonts w:hint="eastAsia" w:ascii="宋体" w:hAnsi="宋体"/>
          <w:bCs/>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bCs/>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bCs/>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bCs/>
          <w:color w:val="auto"/>
          <w:sz w:val="24"/>
          <w:szCs w:val="24"/>
          <w:highlight w:val="none"/>
        </w:rPr>
        <w:t>日</w:t>
      </w:r>
    </w:p>
    <w:p w14:paraId="535CBC9E">
      <w:pPr>
        <w:spacing w:after="0"/>
        <w:rPr>
          <w:rFonts w:hint="eastAsia" w:ascii="宋体" w:hAnsi="宋体"/>
          <w:color w:val="auto"/>
          <w:sz w:val="24"/>
          <w:szCs w:val="24"/>
          <w:highlight w:val="none"/>
        </w:rPr>
      </w:pPr>
      <w:r>
        <w:rPr>
          <w:rFonts w:hint="eastAsia" w:ascii="宋体" w:hAnsi="宋体"/>
          <w:color w:val="auto"/>
          <w:sz w:val="24"/>
          <w:szCs w:val="24"/>
          <w:highlight w:val="none"/>
        </w:rPr>
        <w:t>附：</w:t>
      </w:r>
    </w:p>
    <w:p w14:paraId="3B82DFD6">
      <w:pPr>
        <w:adjustRightInd w:val="0"/>
        <w:snapToGrid w:val="0"/>
        <w:spacing w:after="0"/>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供应商名称（公章）：</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77612BF0">
      <w:pPr>
        <w:adjustRightInd w:val="0"/>
        <w:snapToGrid w:val="0"/>
        <w:spacing w:after="0"/>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法定代表人（签章）：</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4E7A3583">
      <w:pPr>
        <w:adjustRightInd w:val="0"/>
        <w:snapToGrid w:val="0"/>
        <w:spacing w:after="0"/>
        <w:ind w:firstLine="720" w:firstLineChars="300"/>
        <w:rPr>
          <w:rFonts w:hint="eastAsia" w:ascii="宋体" w:hAnsi="宋体"/>
          <w:color w:val="auto"/>
          <w:sz w:val="24"/>
          <w:szCs w:val="24"/>
          <w:highlight w:val="none"/>
        </w:rPr>
      </w:pPr>
      <w:r>
        <w:rPr>
          <w:rFonts w:hint="eastAsia" w:ascii="宋体" w:hAnsi="宋体" w:cs="宋体"/>
          <w:color w:val="auto"/>
          <w:sz w:val="24"/>
          <w:szCs w:val="24"/>
          <w:highlight w:val="none"/>
        </w:rPr>
        <w:t>授权代表</w:t>
      </w:r>
      <w:r>
        <w:rPr>
          <w:rFonts w:hint="eastAsia" w:ascii="宋体" w:hAnsi="宋体"/>
          <w:color w:val="auto"/>
          <w:sz w:val="24"/>
          <w:szCs w:val="24"/>
          <w:highlight w:val="non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13BEB81D">
      <w:pPr>
        <w:spacing w:after="0"/>
        <w:ind w:firstLine="720" w:firstLineChars="300"/>
        <w:rPr>
          <w:rFonts w:hint="eastAsia" w:ascii="宋体" w:hAnsi="宋体"/>
          <w:color w:val="auto"/>
          <w:sz w:val="24"/>
          <w:szCs w:val="24"/>
          <w:highlight w:val="none"/>
          <w:u w:val="single"/>
        </w:rPr>
      </w:pPr>
      <w:r>
        <w:rPr>
          <w:rFonts w:hint="eastAsia" w:ascii="宋体" w:hAnsi="宋体" w:cs="宋体"/>
          <w:color w:val="auto"/>
          <w:sz w:val="24"/>
          <w:szCs w:val="24"/>
          <w:highlight w:val="none"/>
        </w:rPr>
        <w:t>授权代表</w:t>
      </w:r>
      <w:r>
        <w:rPr>
          <w:rFonts w:hint="eastAsia" w:ascii="宋体" w:hAnsi="宋体"/>
          <w:color w:val="auto"/>
          <w:sz w:val="24"/>
          <w:szCs w:val="24"/>
          <w:highlight w:val="none"/>
        </w:rPr>
        <w:t>身份证号码：</w:t>
      </w:r>
      <w:r>
        <w:rPr>
          <w:rFonts w:hint="eastAsia" w:ascii="宋体" w:hAnsi="宋体"/>
          <w:color w:val="auto"/>
          <w:sz w:val="24"/>
          <w:szCs w:val="24"/>
          <w:highlight w:val="none"/>
          <w:u w:val="single"/>
        </w:rPr>
        <w:t xml:space="preserve">                   </w:t>
      </w:r>
    </w:p>
    <w:p w14:paraId="2F631BEF">
      <w:pPr>
        <w:spacing w:after="0"/>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电话：</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p>
    <w:p w14:paraId="029320D4">
      <w:pPr>
        <w:spacing w:after="0"/>
        <w:rPr>
          <w:rFonts w:hint="eastAsia" w:ascii="宋体" w:hAnsi="宋体"/>
          <w:color w:val="auto"/>
          <w:sz w:val="24"/>
          <w:szCs w:val="24"/>
          <w:highlight w:val="none"/>
        </w:rPr>
      </w:pPr>
      <w:r>
        <w:rPr>
          <w:rFonts w:hint="eastAsia" w:ascii="宋体" w:hAnsi="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3110865</wp:posOffset>
                </wp:positionH>
                <wp:positionV relativeFrom="paragraph">
                  <wp:posOffset>28575</wp:posOffset>
                </wp:positionV>
                <wp:extent cx="3000375" cy="1714500"/>
                <wp:effectExtent l="4445" t="4445" r="5080" b="14605"/>
                <wp:wrapNone/>
                <wp:docPr id="25"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scaled="0"/>
                        </a:gradFill>
                        <a:ln w="9525">
                          <a:solidFill>
                            <a:srgbClr val="000000"/>
                          </a:solidFill>
                          <a:miter lim="800000"/>
                        </a:ln>
                      </wps:spPr>
                      <wps:txbx>
                        <w:txbxContent>
                          <w:p w14:paraId="7D8E1E3C">
                            <w:pPr>
                              <w:ind w:firstLine="480"/>
                              <w:rPr>
                                <w:sz w:val="24"/>
                              </w:rPr>
                            </w:pPr>
                            <w:permStart w:id="2" w:edGrp="everyone"/>
                            <w:r>
                              <w:rPr>
                                <w:rFonts w:hint="eastAsia"/>
                                <w:sz w:val="24"/>
                              </w:rPr>
                              <w:t>附：法定代表人身份证复印件（反面）</w:t>
                            </w:r>
                            <w:permEnd w:id="2"/>
                          </w:p>
                        </w:txbxContent>
                      </wps:txbx>
                      <wps:bodyPr rot="0" vert="horz" wrap="square" anchor="t" anchorCtr="0" upright="1"/>
                    </wps:wsp>
                  </a:graphicData>
                </a:graphic>
              </wp:anchor>
            </w:drawing>
          </mc:Choice>
          <mc:Fallback>
            <w:pict>
              <v:shape id="_x0000_s1026" o:spid="_x0000_s1026" o:spt="202" type="#_x0000_t202" style="position:absolute;left:0pt;margin-left:244.95pt;margin-top:2.25pt;height:135pt;width:236.25pt;z-index:251663360;mso-width-relative:page;mso-height-relative:page;" fillcolor="#FFFFFF" filled="t" stroked="t" coordsize="21600,21600" o:gfxdata="UEsDBAoAAAAAAIdO4kAAAAAAAAAAAAAAAAAEAAAAZHJzL1BLAwQUAAAACACHTuJAJwBU89gAAAAJ&#10;AQAADwAAAGRycy9kb3ducmV2LnhtbE2PzU7DMBCE70i8g7VIXBC1E5WQhDgVQuLQG7QcODrxNoka&#10;r0Ps/sDTs5zKbXdnNPtNtTq7URxxDoMnDclCgUBqvR2o0/Cxfb3PQYRoyJrRE2r4xgCr+vqqMqX1&#10;J3rH4yZ2gkMolEZDH+NUShnaHp0JCz8hsbbzszOR17mTdjYnDnejTJXKpDMD8YfeTPjSY7vfHJyG&#10;u69cOYfN59t6l/zsp3W2fSaj9e1Nop5ARDzHixn+8BkdamZq/IFsEKOGZV4UbOXhAQTrRZYuQTQa&#10;0ke+yLqS/xvUv1BLAwQUAAAACACHTuJAP6tGXFkCAADBBAAADgAAAGRycy9lMm9Eb2MueG1srVTN&#10;jtMwEL4j8Q6W7zTpLmWXqOkKdlUuy4+0IM6u4yQWtsd43CblAeANOHHhznPtczBx2m5ZJLQHcoic&#10;seebb75vnPlFbw3bqIAaXMmnk5wz5SRU2jUl//B++eScM4zCVcKAUyXfKuQXi8eP5p0v1Am0YCoV&#10;GIE4LDpf8jZGX2QZylZZgRPwytFmDcGKSJ+hyaogOkK3JjvJ82dZB6HyAaRCpOjVuMl3iOEhgFDX&#10;WqorkGurXBxRgzIiUkvYao98kdjWtZLxbV2jisyUnDqN6U1FaL0a3tliLoomCN9quaMgHkLhXk9W&#10;aEdFD1BXIgq2DvovKKtlAIQ6TiTYbGwkKUJdTPN72ty0wqvUC0mN/iA6/j9Y+WbzLjBdlfxkxpkT&#10;lhy//f7t9sev259fGcVIoM5jQeduPJ2M/UvoaWxSs+ivQX5C5uCyFa5RL0KArlWiIoLTITM7Sh1x&#10;cABZda+hokJiHSEB9XWwg3qkByN0Mmd7MEf1kUkKnuZ5fnpGJCXtTc+mT2d5si8TxT7dB4yvFFg2&#10;LEoeyP0ELzbXGAc6otgf2XlVLbUxLED8qGOb5B7qpk2knHHBPFBDYxhDs7o0gW0EDdQyPalRch6P&#10;T0+JLfEbQv9OIU7NvpTRjpGOSQCUwiiyZd8jzWgiOyAax7qSP5+RPakAGH3Y+6NaIrFHwONjVke6&#10;xUbbkp+PVEd9jNu5Nhg1Whb7Vb+bghVUW/KP9Eoc6S9CixbCF846ukMlx89rERSnLiSFSx73y8s4&#10;Xrq1D7ppKetuPmiykzW7WzhcnePvxOfuz7P4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cAVPPY&#10;AAAACQEAAA8AAAAAAAAAAQAgAAAAIgAAAGRycy9kb3ducmV2LnhtbFBLAQIUABQAAAAIAIdO4kA/&#10;q0ZcWQIAAMEEAAAOAAAAAAAAAAEAIAAAACcBAABkcnMvZTJvRG9jLnhtbFBLBQYAAAAABgAGAFkB&#10;AADyBQAAAAA=&#10;">
                <v:fill type="gradient" on="t" color2="#FFFFFF" angle="90" focus="100%" focussize="0,0">
                  <o:fill type="gradientUnscaled" v:ext="backwardCompatible"/>
                </v:fill>
                <v:stroke color="#000000" miterlimit="8" joinstyle="miter"/>
                <v:imagedata o:title=""/>
                <o:lock v:ext="edit" aspectratio="f"/>
                <v:textbox>
                  <w:txbxContent>
                    <w:p w14:paraId="7D8E1E3C">
                      <w:pPr>
                        <w:ind w:firstLine="480"/>
                        <w:rPr>
                          <w:sz w:val="24"/>
                        </w:rPr>
                      </w:pPr>
                      <w:permStart w:id="2" w:edGrp="everyone"/>
                      <w:r>
                        <w:rPr>
                          <w:rFonts w:hint="eastAsia"/>
                          <w:sz w:val="24"/>
                        </w:rPr>
                        <w:t>附：法定代表人身份证复印件（反面）</w:t>
                      </w:r>
                      <w:permEnd w:id="2"/>
                    </w:p>
                  </w:txbxContent>
                </v:textbox>
              </v:shape>
            </w:pict>
          </mc:Fallback>
        </mc:AlternateContent>
      </w:r>
      <w:r>
        <w:rPr>
          <w:rFonts w:hint="eastAsia" w:ascii="宋体" w:hAnsi="宋体"/>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-67310</wp:posOffset>
                </wp:positionH>
                <wp:positionV relativeFrom="paragraph">
                  <wp:posOffset>23495</wp:posOffset>
                </wp:positionV>
                <wp:extent cx="3000375" cy="1714500"/>
                <wp:effectExtent l="4445" t="4445" r="5080" b="14605"/>
                <wp:wrapNone/>
                <wp:docPr id="26"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scaled="0"/>
                        </a:gradFill>
                        <a:ln w="9525">
                          <a:solidFill>
                            <a:srgbClr val="000000"/>
                          </a:solidFill>
                          <a:miter lim="800000"/>
                        </a:ln>
                      </wps:spPr>
                      <wps:txbx>
                        <w:txbxContent>
                          <w:p w14:paraId="1D8A8596">
                            <w:pPr>
                              <w:ind w:firstLine="480"/>
                              <w:rPr>
                                <w:sz w:val="24"/>
                              </w:rPr>
                            </w:pPr>
                            <w:permStart w:id="3" w:edGrp="everyone"/>
                            <w:r>
                              <w:rPr>
                                <w:rFonts w:hint="eastAsia"/>
                                <w:sz w:val="24"/>
                              </w:rPr>
                              <w:t>附：法定代表人身份证复印件（正面）</w:t>
                            </w:r>
                            <w:permEnd w:id="3"/>
                          </w:p>
                        </w:txbxContent>
                      </wps:txbx>
                      <wps:bodyPr rot="0" vert="horz" wrap="square" anchor="t" anchorCtr="0" upright="1"/>
                    </wps:wsp>
                  </a:graphicData>
                </a:graphic>
              </wp:anchor>
            </w:drawing>
          </mc:Choice>
          <mc:Fallback>
            <w:pict>
              <v:shape id="_x0000_s1026" o:spid="_x0000_s1026" o:spt="202" type="#_x0000_t202" style="position:absolute;left:0pt;margin-left:-5.3pt;margin-top:1.85pt;height:135pt;width:236.25pt;z-index:251662336;mso-width-relative:page;mso-height-relative:page;" fillcolor="#FFFFFF" filled="t" stroked="t" coordsize="21600,21600" o:gfxdata="UEsDBAoAAAAAAIdO4kAAAAAAAAAAAAAAAAAEAAAAZHJzL1BLAwQUAAAACACHTuJAIVlmJtgAAAAJ&#10;AQAADwAAAGRycy9kb3ducmV2LnhtbE2PzU7DMBCE70i8g7WVuKDWdkFpSbOpEBKH3qDlwNGJt0nU&#10;eB1i9weeHnMqx9kZzXxbrC+uFycaQ+cZQc8UCOLa244bhI/d63QJIkTD1vSeCeGbAqzL25vC5Naf&#10;+Z1O29iIVMIhNwhtjEMuZahbcibM/ECcvL0fnYlJjo20ozmnctfLuVKZdKbjtNCagV5aqg/bo0O4&#10;/1oq56j6fNvs9c9h2GS7ZzaIdxOtViAiXeI1DH/4CR3KxFT5I9sgeoSpVlmKIjwsQCT/MdNPICqE&#10;+SJdZFnI/x+Uv1BLAwQUAAAACACHTuJA+qIUkVoCAADBBAAADgAAAGRycy9lMm9Eb2MueG1srVTN&#10;btQwEL4j8Q6W7zTZLduWqNkKdlUu5UcqiLPXcRIL22M83k3KA9A34MSFO8/V52Di7G6XIqEeyCFy&#10;xp5vvvm+cc4vemvYRgXU4Eo+Oco5U05CpV1T8o8fLp+dcYZRuEoYcKrkNwr5xfzpk/POF2oKLZhK&#10;BUYgDovOl7yN0RdZhrJVVuAReOVos4ZgRaTP0GRVEB2hW5NN8/wk6yBUPoBUiBRdjpt8ixgeAwh1&#10;raVaglxb5eKIGpQRkVrCVnvk88S2rpWM7+oaVWSm5NRpTG8qQuvV8M7m56JogvCtllsK4jEUHvRk&#10;hXZUdA+1FFGwddB/QVktAyDU8UiCzcZGkiLUxSR/oM11K7xKvZDU6Pei4/+DlW837wPTVcmnJ5w5&#10;Ycnxu++3dz9+3f38xihGAnUeCzp37elk7F9BT2OTmkV/BfIzMgeLVrhGvQwBulaJighOhszsIHXE&#10;wQFk1b2BigqJdYQE1NfBDuqRHozQyZybvTmqj0xS8DjP8+PTGWeS9iank+ezPNmXiWKX7gPG1wos&#10;GxYlD+R+ghebK4wDHVHsjmy9qi61MSxA/KRjm+Qe6qZNpJxxwTxQQ2MYQ7NamMA2ggbqMj2pUXIe&#10;D09PiC3xG0L/TiFOza6U0Y6RjkkAlMIosmXXI81oIjsgGse6kr+YTWdjATB6v/dHtURih4CHx6yO&#10;dIuNtiU/G6mO+hi3dW0warQs9qt+OwUrqG7IP9IrcaS/CC1aCF856+gOlRy/rEVQnLqQFC553C0X&#10;cbx0ax9001LW/XzQZCdrtrdwuDqH34nP/Z9n/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hWWYm&#10;2AAAAAkBAAAPAAAAAAAAAAEAIAAAACIAAABkcnMvZG93bnJldi54bWxQSwECFAAUAAAACACHTuJA&#10;+qIUkVoCAADBBAAADgAAAAAAAAABACAAAAAnAQAAZHJzL2Uyb0RvYy54bWxQSwUGAAAAAAYABgBZ&#10;AQAA8wUAAAAA&#10;">
                <v:fill type="gradient" on="t" color2="#FFFFFF" angle="90" focus="100%" focussize="0,0">
                  <o:fill type="gradientUnscaled" v:ext="backwardCompatible"/>
                </v:fill>
                <v:stroke color="#000000" miterlimit="8" joinstyle="miter"/>
                <v:imagedata o:title=""/>
                <o:lock v:ext="edit" aspectratio="f"/>
                <v:textbox>
                  <w:txbxContent>
                    <w:p w14:paraId="1D8A8596">
                      <w:pPr>
                        <w:ind w:firstLine="480"/>
                        <w:rPr>
                          <w:sz w:val="24"/>
                        </w:rPr>
                      </w:pPr>
                      <w:permStart w:id="3" w:edGrp="everyone"/>
                      <w:r>
                        <w:rPr>
                          <w:rFonts w:hint="eastAsia"/>
                          <w:sz w:val="24"/>
                        </w:rPr>
                        <w:t>附：法定代表人身份证复印件（正面）</w:t>
                      </w:r>
                      <w:permEnd w:id="3"/>
                    </w:p>
                  </w:txbxContent>
                </v:textbox>
              </v:shape>
            </w:pict>
          </mc:Fallback>
        </mc:AlternateContent>
      </w:r>
    </w:p>
    <w:p w14:paraId="24878061">
      <w:pPr>
        <w:spacing w:after="0"/>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7BCB465B">
      <w:pPr>
        <w:spacing w:after="0"/>
        <w:rPr>
          <w:rFonts w:hint="eastAsia" w:ascii="宋体" w:hAnsi="宋体"/>
          <w:color w:val="auto"/>
          <w:sz w:val="24"/>
          <w:szCs w:val="24"/>
          <w:highlight w:val="none"/>
        </w:rPr>
      </w:pPr>
    </w:p>
    <w:p w14:paraId="0A3448FC">
      <w:pPr>
        <w:spacing w:after="0"/>
        <w:rPr>
          <w:rFonts w:hint="eastAsia" w:ascii="宋体" w:hAnsi="宋体"/>
          <w:color w:val="auto"/>
          <w:sz w:val="24"/>
          <w:szCs w:val="24"/>
          <w:highlight w:val="none"/>
        </w:rPr>
      </w:pPr>
    </w:p>
    <w:p w14:paraId="2D536FD0">
      <w:pPr>
        <w:spacing w:after="0"/>
        <w:rPr>
          <w:rFonts w:hint="eastAsia" w:ascii="宋体" w:hAnsi="宋体"/>
          <w:color w:val="auto"/>
          <w:sz w:val="24"/>
          <w:szCs w:val="24"/>
          <w:highlight w:val="none"/>
        </w:rPr>
      </w:pPr>
    </w:p>
    <w:p w14:paraId="0CB565F0">
      <w:pPr>
        <w:autoSpaceDE w:val="0"/>
        <w:autoSpaceDN w:val="0"/>
        <w:spacing w:after="0"/>
        <w:ind w:left="281" w:leftChars="128" w:firstLine="480" w:firstLineChars="200"/>
        <w:jc w:val="right"/>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62F5E33C">
      <w:pPr>
        <w:autoSpaceDE w:val="0"/>
        <w:autoSpaceDN w:val="0"/>
        <w:spacing w:after="0"/>
        <w:ind w:left="281" w:leftChars="128" w:firstLine="480" w:firstLineChars="200"/>
        <w:jc w:val="right"/>
        <w:rPr>
          <w:rFonts w:hint="eastAsia" w:ascii="宋体" w:hAnsi="宋体"/>
          <w:color w:val="auto"/>
          <w:sz w:val="24"/>
          <w:szCs w:val="24"/>
          <w:highlight w:val="none"/>
        </w:rPr>
      </w:pPr>
    </w:p>
    <w:p w14:paraId="6AF870E2">
      <w:pPr>
        <w:spacing w:after="0"/>
        <w:ind w:left="480" w:hanging="480"/>
        <w:jc w:val="right"/>
        <w:rPr>
          <w:rFonts w:hint="eastAsia" w:ascii="宋体" w:hAnsi="宋体"/>
          <w:color w:val="auto"/>
          <w:sz w:val="24"/>
          <w:szCs w:val="24"/>
          <w:highlight w:val="none"/>
        </w:rPr>
      </w:pPr>
    </w:p>
    <w:p w14:paraId="6BE16F5C">
      <w:pPr>
        <w:spacing w:after="0"/>
        <w:ind w:left="480" w:hanging="480"/>
        <w:jc w:val="right"/>
        <w:rPr>
          <w:rFonts w:hint="eastAsia" w:ascii="宋体" w:hAnsi="宋体"/>
          <w:color w:val="auto"/>
          <w:sz w:val="24"/>
          <w:szCs w:val="24"/>
          <w:highlight w:val="none"/>
        </w:rPr>
      </w:pPr>
      <w:r>
        <w:rPr>
          <w:rFonts w:hint="eastAsia" w:ascii="宋体" w:hAnsi="宋体"/>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3105150</wp:posOffset>
                </wp:positionH>
                <wp:positionV relativeFrom="paragraph">
                  <wp:posOffset>77470</wp:posOffset>
                </wp:positionV>
                <wp:extent cx="3000375" cy="1714500"/>
                <wp:effectExtent l="4445" t="4445" r="5080" b="14605"/>
                <wp:wrapNone/>
                <wp:docPr id="23"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scaled="0"/>
                        </a:gradFill>
                        <a:ln w="9525">
                          <a:solidFill>
                            <a:srgbClr val="000000"/>
                          </a:solidFill>
                          <a:miter lim="800000"/>
                        </a:ln>
                      </wps:spPr>
                      <wps:txbx>
                        <w:txbxContent>
                          <w:p w14:paraId="611D72C5">
                            <w:pPr>
                              <w:ind w:firstLine="480"/>
                              <w:rPr>
                                <w:sz w:val="24"/>
                              </w:rPr>
                            </w:pPr>
                            <w:permStart w:id="4" w:edGrp="everyone"/>
                            <w:r>
                              <w:rPr>
                                <w:rFonts w:hint="eastAsia"/>
                                <w:sz w:val="24"/>
                              </w:rPr>
                              <w:t>附：</w:t>
                            </w:r>
                            <w:r>
                              <w:rPr>
                                <w:rFonts w:hint="eastAsia" w:ascii="宋体" w:hAnsi="宋体"/>
                                <w:color w:val="000000"/>
                                <w:sz w:val="24"/>
                              </w:rPr>
                              <w:t>授权代表</w:t>
                            </w:r>
                            <w:r>
                              <w:rPr>
                                <w:rFonts w:hint="eastAsia"/>
                                <w:sz w:val="24"/>
                              </w:rPr>
                              <w:t>身份证复印件（反面）</w:t>
                            </w:r>
                            <w:r>
                              <w:rPr>
                                <w:sz w:val="24"/>
                              </w:rPr>
                              <w:t xml:space="preserve"> </w:t>
                            </w:r>
                          </w:p>
                          <w:permEnd w:id="4"/>
                          <w:p w14:paraId="0D784BC1">
                            <w:pPr>
                              <w:ind w:firstLine="420"/>
                            </w:pPr>
                          </w:p>
                        </w:txbxContent>
                      </wps:txbx>
                      <wps:bodyPr rot="0" vert="horz" wrap="square" anchor="t" anchorCtr="0" upright="1"/>
                    </wps:wsp>
                  </a:graphicData>
                </a:graphic>
              </wp:anchor>
            </w:drawing>
          </mc:Choice>
          <mc:Fallback>
            <w:pict>
              <v:shape id="_x0000_s1026" o:spid="_x0000_s1026" o:spt="202" type="#_x0000_t202" style="position:absolute;left:0pt;margin-left:244.5pt;margin-top:6.1pt;height:135pt;width:236.25pt;z-index:251665408;mso-width-relative:page;mso-height-relative:page;" fillcolor="#FFFFFF" filled="t" stroked="t" coordsize="21600,21600" o:gfxdata="UEsDBAoAAAAAAIdO4kAAAAAAAAAAAAAAAAAEAAAAZHJzL1BLAwQUAAAACACHTuJAdOnnr9gAAAAK&#10;AQAADwAAAGRycy9kb3ducmV2LnhtbE2PvU7DQBCEeyTe4bRINIicbYHlGJ8jhESRDhIKyrVvY1vx&#10;7Rnf5QeenqUi5c6MZr+pVmc3qiPNYfBsIF0koIhbbwfuDHxsX+8LUCEiWxw9k4FvCrCqr68qLK0/&#10;8TsdN7FTUsKhRAN9jFOpdWh7chgWfiIWb+dnh1HOudN2xpOUu1FnSZJrhwPLhx4neump3W8OzsDd&#10;V5E4R83n23qX/uyndb59ZjTm9iZNnkBFOsf/MPzhCzrUwtT4A9ugRgMPxVK2RDGyDJQElnn6CKox&#10;kBWi6LrSlxPqX1BLAwQUAAAACACHTuJA9L6THVoCAADBBAAADgAAAGRycy9lMm9Eb2MueG1srVTN&#10;jtMwEL4j8Q6W72zSLmWXqOkKWi2X5UdaEGfXcRIL22M8bpPlAeANOHHhznPtczBx2m5ZJLQHcoic&#10;seebb75vnPlFbw3bqoAaXMknJzlnykmotGtK/uH95ZNzzjAKVwkDTpX8RiG/WDx+NO98oabQgqlU&#10;YATisOh8ydsYfZFlKFtlBZ6AV442awhWRPoMTVYF0RG6Ndk0z59lHYTKB5AKkaKrcZPvEMNDAKGu&#10;tVQrkBurXBxRgzIiUkvYao98kdjWtZLxbV2jisyUnDqN6U1FaL0e3tliLoomCN9quaMgHkLhXk9W&#10;aEdFD1ArEQXbBP0XlNUyAEIdTyTYbGwkKUJdTPJ72ly3wqvUC0mN/iA6/j9Y+Wb7LjBdlXx6ypkT&#10;lhy//f7t9sev259fGcVIoM5jQeeuPZ2M/UvoaWxSs+ivQH5C5mDZCteoFyFA1ypREcHJkJkdpY44&#10;OICsu9dQUSGxiZCA+jrYQT3SgxE6mXNzMEf1kUkKnuZ5fno240zS3uRs8nSWJ/syUezTfcD4SoFl&#10;w6LkgdxP8GJ7hXGgI4r9kZ1X1aU2hgWIH3Vsk9xD3bSJlDMumAdqaAxjaNZLE9hW0EBdpic1Ss7j&#10;8ekJsSV+Q+jfKcSp2Zcy2jHSMQmAUhhFtux7pBlNZAdE41hX8uez6WwsAEYf9v6olkjsEfD4mNWR&#10;brHRtuTnI9VRH+N2rg1GjZbFft3vpmAN1Q35R3oljvQXoUUL4QtnHd2hkuPnjQiKUxeSwiWP++Uy&#10;jpdu44NuWsq6mw+a7GTN7hYOV+f4O/G5+/M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06eev&#10;2AAAAAoBAAAPAAAAAAAAAAEAIAAAACIAAABkcnMvZG93bnJldi54bWxQSwECFAAUAAAACACHTuJA&#10;9L6THVoCAADBBAAADgAAAAAAAAABACAAAAAnAQAAZHJzL2Uyb0RvYy54bWxQSwUGAAAAAAYABgBZ&#10;AQAA8wUAAAAA&#10;">
                <v:fill type="gradient" on="t" color2="#FFFFFF" angle="90" focus="100%" focussize="0,0">
                  <o:fill type="gradientUnscaled" v:ext="backwardCompatible"/>
                </v:fill>
                <v:stroke color="#000000" miterlimit="8" joinstyle="miter"/>
                <v:imagedata o:title=""/>
                <o:lock v:ext="edit" aspectratio="f"/>
                <v:textbox>
                  <w:txbxContent>
                    <w:p w14:paraId="611D72C5">
                      <w:pPr>
                        <w:ind w:firstLine="480"/>
                        <w:rPr>
                          <w:sz w:val="24"/>
                        </w:rPr>
                      </w:pPr>
                      <w:permStart w:id="4" w:edGrp="everyone"/>
                      <w:r>
                        <w:rPr>
                          <w:rFonts w:hint="eastAsia"/>
                          <w:sz w:val="24"/>
                        </w:rPr>
                        <w:t>附：</w:t>
                      </w:r>
                      <w:r>
                        <w:rPr>
                          <w:rFonts w:hint="eastAsia" w:ascii="宋体" w:hAnsi="宋体"/>
                          <w:color w:val="000000"/>
                          <w:sz w:val="24"/>
                        </w:rPr>
                        <w:t>授权代表</w:t>
                      </w:r>
                      <w:r>
                        <w:rPr>
                          <w:rFonts w:hint="eastAsia"/>
                          <w:sz w:val="24"/>
                        </w:rPr>
                        <w:t>身份证复印件（反面）</w:t>
                      </w:r>
                      <w:r>
                        <w:rPr>
                          <w:sz w:val="24"/>
                        </w:rPr>
                        <w:t xml:space="preserve"> </w:t>
                      </w:r>
                    </w:p>
                    <w:permEnd w:id="4"/>
                    <w:p w14:paraId="0D784BC1">
                      <w:pPr>
                        <w:ind w:firstLine="420"/>
                      </w:pPr>
                    </w:p>
                  </w:txbxContent>
                </v:textbox>
              </v:shape>
            </w:pict>
          </mc:Fallback>
        </mc:AlternateContent>
      </w:r>
      <w:r>
        <w:rPr>
          <w:rFonts w:hint="eastAsia" w:ascii="宋体" w:hAnsi="宋体"/>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-52705</wp:posOffset>
                </wp:positionH>
                <wp:positionV relativeFrom="paragraph">
                  <wp:posOffset>104775</wp:posOffset>
                </wp:positionV>
                <wp:extent cx="3000375" cy="1714500"/>
                <wp:effectExtent l="4445" t="4445" r="5080" b="14605"/>
                <wp:wrapNone/>
                <wp:docPr id="24"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scaled="0"/>
                        </a:gradFill>
                        <a:ln w="9525">
                          <a:solidFill>
                            <a:srgbClr val="000000"/>
                          </a:solidFill>
                          <a:miter lim="800000"/>
                        </a:ln>
                      </wps:spPr>
                      <wps:txbx>
                        <w:txbxContent>
                          <w:p w14:paraId="7D6631EA">
                            <w:pPr>
                              <w:ind w:firstLine="480"/>
                              <w:rPr>
                                <w:sz w:val="24"/>
                              </w:rPr>
                            </w:pPr>
                            <w:permStart w:id="5" w:edGrp="everyone"/>
                            <w:r>
                              <w:rPr>
                                <w:rFonts w:hint="eastAsia"/>
                                <w:sz w:val="24"/>
                              </w:rPr>
                              <w:t>附：</w:t>
                            </w:r>
                            <w:r>
                              <w:rPr>
                                <w:rFonts w:hint="eastAsia" w:ascii="宋体" w:hAnsi="宋体"/>
                                <w:color w:val="000000"/>
                                <w:sz w:val="24"/>
                              </w:rPr>
                              <w:t>授权代表</w:t>
                            </w:r>
                            <w:r>
                              <w:rPr>
                                <w:rFonts w:hint="eastAsia"/>
                                <w:sz w:val="24"/>
                              </w:rPr>
                              <w:t>身份证复印件（正面）</w:t>
                            </w:r>
                          </w:p>
                          <w:permEnd w:id="5"/>
                          <w:p w14:paraId="616A388F">
                            <w:pPr>
                              <w:ind w:firstLine="420"/>
                            </w:pPr>
                          </w:p>
                        </w:txbxContent>
                      </wps:txbx>
                      <wps:bodyPr rot="0" vert="horz" wrap="square" anchor="t" anchorCtr="0" upright="1"/>
                    </wps:wsp>
                  </a:graphicData>
                </a:graphic>
              </wp:anchor>
            </w:drawing>
          </mc:Choice>
          <mc:Fallback>
            <w:pict>
              <v:shape id="_x0000_s1026" o:spid="_x0000_s1026" o:spt="202" type="#_x0000_t202" style="position:absolute;left:0pt;margin-left:-4.15pt;margin-top:8.25pt;height:135pt;width:236.25pt;z-index:251664384;mso-width-relative:page;mso-height-relative:page;" fillcolor="#FFFFFF" filled="t" stroked="t" coordsize="21600,21600" o:gfxdata="UEsDBAoAAAAAAIdO4kAAAAAAAAAAAAAAAAAEAAAAZHJzL1BLAwQUAAAACACHTuJAFjQDtNcAAAAJ&#10;AQAADwAAAGRycy9kb3ducmV2LnhtbE2PvU7DQBCEeyTe4bRINCg52wTLMj5HCIkiHSQUlGvfxrbi&#10;2zO+yw88PUsF5c6MZr+p1hc3qhPNYfBsIF0moIhbbwfuDLzvXhYFqBCRLY6eycAXBVjX11cVltaf&#10;+Y1O29gpKeFQooE+xqnUOrQ9OQxLPxGLt/ezwyjn3Gk741nK3aizJMm1w4HlQ48TPffUHrZHZ+Du&#10;s0ico+bjdbNPvw/TJt89MRpze5Mmj6AiXeJfGH7xBR1qYWr8kW1Qo4FFcS9J0fMHUOKv8lUGqjGQ&#10;FaLoutL/F9Q/UEsDBBQAAAAIAIdO4kB8rIgYWgIAAMEEAAAOAAAAZHJzL2Uyb0RvYy54bWytVM1u&#10;1DAQviPxDpbvNNltl5ao2Qp2VS7lRyqIs9dxEgvbYzzeTcoD0DfgxIU7z9XnYOLsbpcioR7IIXLG&#10;nm+++b5xzi96a9hGBdTgSj45yjlTTkKlXVPyjx8un51xhlG4ShhwquQ3CvnF/OmT884XagotmEoF&#10;RiAOi86XvI3RF1mGslVW4BF45WizhmBFpM/QZFUQHaFbk03z/HnWQah8AKkQKbocN/kWMTwGEOpa&#10;S7UEubbKxRE1KCMitYSt9sjniW1dKxnf1TWqyEzJqdOY3lSE1qvhnc3PRdEE4VsttxTEYyg86MkK&#10;7ajoHmopomDroP+CsloGQKjjkQSbjY0kRaiLSf5Am+tWeJV6IanR70XH/wcr327eB6arkk9POHPC&#10;kuN332/vfvy6+/mNUYwE6jwWdO7a08nYv4KexiY1i/4K5GdkDhatcI16GQJ0rRIVEZwMmdlB6oiD&#10;A8iqewMVFRLrCAmor4Md1CM9GKGTOTd7c1QfmaTgcZ7nx6czziTtTU4nJ7M82ZeJYpfuA8bXCiwb&#10;FiUP5H6CF5srjAMdUeyObL2qLrUxLED8pGOb5B7qpk2knHHBPFBDYxhDs1qYwDaCBuoyPalRch4P&#10;T0+ILfEbQv9OIU7NrpTRjpGOSQCUwiiyZdcjzWgiOyAax7qSv5hNZ2MBMHq/90e1RGKHgIfHrI50&#10;i422JT8bqY76GLd1bTBqtCz2q347BSuobsg/0itxpL8ILVoIXznr6A6VHL+sRVCcupAULnncLRdx&#10;vHRrH3TTUtb9fNBkJ2u2t3C4Ooffic/9n2f+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Y0A7TX&#10;AAAACQEAAA8AAAAAAAAAAQAgAAAAIgAAAGRycy9kb3ducmV2LnhtbFBLAQIUABQAAAAIAIdO4kB8&#10;rIgYWgIAAMEEAAAOAAAAAAAAAAEAIAAAACYBAABkcnMvZTJvRG9jLnhtbFBLBQYAAAAABgAGAFkB&#10;AADyBQAAAAA=&#10;">
                <v:fill type="gradient" on="t" color2="#FFFFFF" angle="90" focus="100%" focussize="0,0">
                  <o:fill type="gradientUnscaled" v:ext="backwardCompatible"/>
                </v:fill>
                <v:stroke color="#000000" miterlimit="8" joinstyle="miter"/>
                <v:imagedata o:title=""/>
                <o:lock v:ext="edit" aspectratio="f"/>
                <v:textbox>
                  <w:txbxContent>
                    <w:p w14:paraId="7D6631EA">
                      <w:pPr>
                        <w:ind w:firstLine="480"/>
                        <w:rPr>
                          <w:sz w:val="24"/>
                        </w:rPr>
                      </w:pPr>
                      <w:permStart w:id="5" w:edGrp="everyone"/>
                      <w:r>
                        <w:rPr>
                          <w:rFonts w:hint="eastAsia"/>
                          <w:sz w:val="24"/>
                        </w:rPr>
                        <w:t>附：</w:t>
                      </w:r>
                      <w:r>
                        <w:rPr>
                          <w:rFonts w:hint="eastAsia" w:ascii="宋体" w:hAnsi="宋体"/>
                          <w:color w:val="000000"/>
                          <w:sz w:val="24"/>
                        </w:rPr>
                        <w:t>授权代表</w:t>
                      </w:r>
                      <w:r>
                        <w:rPr>
                          <w:rFonts w:hint="eastAsia"/>
                          <w:sz w:val="24"/>
                        </w:rPr>
                        <w:t>身份证复印件（正面）</w:t>
                      </w:r>
                    </w:p>
                    <w:permEnd w:id="5"/>
                    <w:p w14:paraId="616A388F">
                      <w:pPr>
                        <w:ind w:firstLine="420"/>
                      </w:pPr>
                    </w:p>
                  </w:txbxContent>
                </v:textbox>
              </v:shape>
            </w:pict>
          </mc:Fallback>
        </mc:AlternateContent>
      </w:r>
    </w:p>
    <w:p w14:paraId="32FA7456">
      <w:pPr>
        <w:spacing w:after="0"/>
        <w:rPr>
          <w:rFonts w:hint="eastAsia" w:ascii="宋体" w:hAnsi="宋体"/>
          <w:color w:val="auto"/>
          <w:sz w:val="24"/>
          <w:szCs w:val="24"/>
          <w:highlight w:val="none"/>
        </w:rPr>
      </w:pPr>
    </w:p>
    <w:p w14:paraId="4F308648">
      <w:pPr>
        <w:spacing w:after="0"/>
        <w:rPr>
          <w:rFonts w:hint="eastAsia" w:ascii="宋体" w:hAnsi="宋体"/>
          <w:color w:val="auto"/>
          <w:sz w:val="24"/>
          <w:szCs w:val="24"/>
          <w:highlight w:val="none"/>
        </w:rPr>
      </w:pPr>
    </w:p>
    <w:p w14:paraId="39991510">
      <w:pPr>
        <w:spacing w:after="0"/>
        <w:rPr>
          <w:rFonts w:hint="eastAsia" w:ascii="宋体" w:hAnsi="宋体"/>
          <w:color w:val="auto"/>
          <w:sz w:val="24"/>
          <w:szCs w:val="24"/>
          <w:highlight w:val="none"/>
        </w:rPr>
      </w:pPr>
    </w:p>
    <w:p w14:paraId="12E42DD2">
      <w:pPr>
        <w:spacing w:after="0"/>
        <w:rPr>
          <w:rFonts w:hint="eastAsia" w:ascii="宋体" w:hAnsi="宋体"/>
          <w:color w:val="auto"/>
          <w:sz w:val="24"/>
          <w:szCs w:val="24"/>
          <w:highlight w:val="none"/>
        </w:rPr>
      </w:pPr>
    </w:p>
    <w:p w14:paraId="412B975B">
      <w:pPr>
        <w:spacing w:after="0"/>
        <w:rPr>
          <w:rFonts w:hint="eastAsia" w:ascii="宋体" w:hAnsi="宋体"/>
          <w:color w:val="auto"/>
          <w:sz w:val="24"/>
          <w:szCs w:val="24"/>
          <w:highlight w:val="none"/>
        </w:rPr>
      </w:pPr>
    </w:p>
    <w:p w14:paraId="64089D3C">
      <w:pPr>
        <w:spacing w:after="0"/>
        <w:rPr>
          <w:rFonts w:hint="eastAsia" w:ascii="宋体" w:hAnsi="宋体"/>
          <w:color w:val="auto"/>
          <w:sz w:val="24"/>
          <w:szCs w:val="24"/>
          <w:highlight w:val="none"/>
        </w:rPr>
      </w:pPr>
    </w:p>
    <w:p w14:paraId="393F7657">
      <w:pPr>
        <w:spacing w:after="0"/>
        <w:rPr>
          <w:rFonts w:hint="eastAsia" w:ascii="宋体" w:hAnsi="宋体"/>
          <w:color w:val="auto"/>
          <w:sz w:val="24"/>
          <w:szCs w:val="24"/>
          <w:highlight w:val="none"/>
        </w:rPr>
      </w:pPr>
    </w:p>
    <w:p w14:paraId="2FBFC31C">
      <w:pPr>
        <w:spacing w:after="0"/>
        <w:rPr>
          <w:rFonts w:hint="eastAsia" w:ascii="宋体" w:hAnsi="宋体"/>
          <w:color w:val="auto"/>
          <w:sz w:val="24"/>
          <w:szCs w:val="24"/>
          <w:highlight w:val="none"/>
        </w:rPr>
      </w:pPr>
      <w:r>
        <w:rPr>
          <w:rFonts w:hint="eastAsia" w:ascii="宋体" w:hAnsi="宋体"/>
          <w:color w:val="auto"/>
          <w:sz w:val="24"/>
          <w:szCs w:val="24"/>
          <w:highlight w:val="none"/>
        </w:rPr>
        <w:t>说明：</w:t>
      </w:r>
    </w:p>
    <w:p w14:paraId="79B34AB0">
      <w:pPr>
        <w:pStyle w:val="99"/>
        <w:numPr>
          <w:ilvl w:val="0"/>
          <w:numId w:val="63"/>
        </w:numPr>
        <w:spacing w:after="0"/>
        <w:rPr>
          <w:rFonts w:hint="eastAsia" w:ascii="宋体" w:hAnsi="宋体" w:cs="宋体"/>
          <w:color w:val="auto"/>
          <w:sz w:val="24"/>
          <w:szCs w:val="24"/>
          <w:highlight w:val="none"/>
        </w:rPr>
      </w:pPr>
      <w:r>
        <w:rPr>
          <w:rFonts w:hint="eastAsia" w:ascii="宋体" w:hAnsi="宋体"/>
          <w:color w:val="auto"/>
          <w:sz w:val="24"/>
          <w:szCs w:val="24"/>
          <w:highlight w:val="none"/>
        </w:rPr>
        <w:t>因“电子交易平台”未要求</w:t>
      </w:r>
      <w:r>
        <w:rPr>
          <w:rFonts w:hint="eastAsia" w:ascii="宋体" w:hAnsi="宋体" w:cs="宋体"/>
          <w:color w:val="auto"/>
          <w:sz w:val="24"/>
          <w:szCs w:val="24"/>
          <w:highlight w:val="none"/>
        </w:rPr>
        <w:t>授权代表</w:t>
      </w:r>
      <w:r>
        <w:rPr>
          <w:rFonts w:hint="eastAsia" w:ascii="宋体" w:hAnsi="宋体"/>
          <w:color w:val="auto"/>
          <w:sz w:val="24"/>
          <w:szCs w:val="24"/>
          <w:highlight w:val="none"/>
        </w:rPr>
        <w:t>办理CA数字证书，本页“</w:t>
      </w:r>
      <w:r>
        <w:rPr>
          <w:rFonts w:hint="eastAsia" w:ascii="宋体" w:hAnsi="宋体" w:cs="宋体"/>
          <w:color w:val="auto"/>
          <w:sz w:val="24"/>
          <w:szCs w:val="24"/>
          <w:highlight w:val="none"/>
        </w:rPr>
        <w:t>授权代表</w:t>
      </w:r>
      <w:r>
        <w:rPr>
          <w:rFonts w:ascii="宋体" w:hAnsi="宋体"/>
          <w:color w:val="auto"/>
          <w:sz w:val="24"/>
          <w:szCs w:val="24"/>
          <w:highlight w:val="none"/>
        </w:rPr>
        <w:t>”</w:t>
      </w:r>
      <w:r>
        <w:rPr>
          <w:rFonts w:hint="eastAsia" w:ascii="宋体" w:hAnsi="宋体"/>
          <w:color w:val="auto"/>
          <w:sz w:val="24"/>
          <w:szCs w:val="24"/>
          <w:highlight w:val="none"/>
        </w:rPr>
        <w:t>处</w:t>
      </w:r>
      <w:r>
        <w:rPr>
          <w:rFonts w:ascii="宋体" w:hAnsi="宋体"/>
          <w:color w:val="auto"/>
          <w:sz w:val="24"/>
          <w:szCs w:val="24"/>
          <w:highlight w:val="none"/>
        </w:rPr>
        <w:t>可以</w:t>
      </w:r>
      <w:r>
        <w:rPr>
          <w:rFonts w:hint="eastAsia" w:ascii="宋体" w:hAnsi="宋体"/>
          <w:color w:val="auto"/>
          <w:sz w:val="24"/>
          <w:szCs w:val="24"/>
          <w:highlight w:val="none"/>
        </w:rPr>
        <w:t>签名</w:t>
      </w:r>
      <w:r>
        <w:rPr>
          <w:rFonts w:ascii="宋体" w:hAnsi="宋体"/>
          <w:color w:val="auto"/>
          <w:sz w:val="24"/>
          <w:szCs w:val="24"/>
          <w:highlight w:val="none"/>
        </w:rPr>
        <w:t>后扫描上传，或直接打印授权代表姓名</w:t>
      </w:r>
      <w:r>
        <w:rPr>
          <w:rFonts w:hint="eastAsia" w:ascii="宋体" w:hAnsi="宋体"/>
          <w:color w:val="auto"/>
          <w:sz w:val="24"/>
          <w:szCs w:val="24"/>
          <w:highlight w:val="none"/>
        </w:rPr>
        <w:t>，</w:t>
      </w:r>
      <w:r>
        <w:rPr>
          <w:rFonts w:ascii="宋体" w:hAnsi="宋体"/>
          <w:color w:val="auto"/>
          <w:sz w:val="24"/>
          <w:szCs w:val="24"/>
          <w:highlight w:val="none"/>
        </w:rPr>
        <w:t>无需</w:t>
      </w:r>
      <w:r>
        <w:rPr>
          <w:rFonts w:hint="eastAsia" w:ascii="宋体" w:hAnsi="宋体" w:cs="宋体"/>
          <w:color w:val="auto"/>
          <w:sz w:val="24"/>
          <w:szCs w:val="24"/>
          <w:highlight w:val="none"/>
        </w:rPr>
        <w:t>授权代表电子</w:t>
      </w:r>
      <w:r>
        <w:rPr>
          <w:rFonts w:ascii="宋体" w:hAnsi="宋体" w:cs="宋体"/>
          <w:color w:val="auto"/>
          <w:sz w:val="24"/>
          <w:szCs w:val="24"/>
          <w:highlight w:val="none"/>
        </w:rPr>
        <w:t>签章。</w:t>
      </w:r>
    </w:p>
    <w:p w14:paraId="18955D5F">
      <w:pPr>
        <w:pStyle w:val="99"/>
        <w:numPr>
          <w:ilvl w:val="0"/>
          <w:numId w:val="63"/>
        </w:numPr>
        <w:spacing w:after="0"/>
        <w:rPr>
          <w:rFonts w:hint="eastAsia" w:ascii="宋体" w:hAnsi="宋体"/>
          <w:color w:val="auto"/>
          <w:sz w:val="24"/>
          <w:szCs w:val="24"/>
          <w:highlight w:val="none"/>
        </w:rPr>
      </w:pPr>
      <w:r>
        <w:rPr>
          <w:rFonts w:hint="eastAsia" w:ascii="宋体" w:hAnsi="宋体"/>
          <w:color w:val="auto"/>
          <w:sz w:val="24"/>
          <w:szCs w:val="24"/>
          <w:highlight w:val="none"/>
        </w:rPr>
        <w:t>供应商不委托授权代表，而由法定代表人直接参加响应时不需要此</w:t>
      </w:r>
      <w:r>
        <w:rPr>
          <w:rFonts w:ascii="宋体" w:hAnsi="宋体"/>
          <w:color w:val="auto"/>
          <w:sz w:val="24"/>
          <w:szCs w:val="24"/>
          <w:highlight w:val="none"/>
        </w:rPr>
        <w:t>授权书</w:t>
      </w:r>
      <w:r>
        <w:rPr>
          <w:rFonts w:hint="eastAsia" w:ascii="宋体" w:hAnsi="宋体"/>
          <w:color w:val="auto"/>
          <w:sz w:val="24"/>
          <w:szCs w:val="24"/>
          <w:highlight w:val="none"/>
        </w:rPr>
        <w:t>。</w:t>
      </w:r>
    </w:p>
    <w:p w14:paraId="0CFEDA10">
      <w:pPr>
        <w:pStyle w:val="99"/>
        <w:numPr>
          <w:ilvl w:val="0"/>
          <w:numId w:val="63"/>
        </w:numPr>
        <w:spacing w:after="0" w:line="440" w:lineRule="exact"/>
        <w:rPr>
          <w:rFonts w:hint="eastAsia" w:ascii="宋体" w:hAnsi="宋体" w:cs="宋体"/>
          <w:color w:val="auto"/>
          <w:sz w:val="24"/>
          <w:szCs w:val="24"/>
          <w:highlight w:val="none"/>
        </w:rPr>
      </w:pPr>
      <w:r>
        <w:rPr>
          <w:rFonts w:hint="eastAsia" w:ascii="宋体" w:hAnsi="宋体"/>
          <w:color w:val="auto"/>
          <w:sz w:val="24"/>
          <w:szCs w:val="24"/>
          <w:highlight w:val="none"/>
        </w:rPr>
        <w:t>自然人参与响应时不需要。</w:t>
      </w:r>
    </w:p>
    <w:p w14:paraId="33E6F1B5">
      <w:pPr>
        <w:numPr>
          <w:ilvl w:val="0"/>
          <w:numId w:val="61"/>
        </w:numPr>
        <w:tabs>
          <w:tab w:val="left" w:pos="426"/>
        </w:tabs>
        <w:spacing w:after="0" w:line="440" w:lineRule="exact"/>
        <w:ind w:left="0" w:firstLine="0"/>
        <w:contextualSpacing/>
        <w:jc w:val="both"/>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资格证明材料</w:t>
      </w:r>
    </w:p>
    <w:p w14:paraId="36DC70C2">
      <w:pPr>
        <w:spacing w:after="0" w:line="440" w:lineRule="exact"/>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说明：</w:t>
      </w:r>
    </w:p>
    <w:p w14:paraId="69DEF135">
      <w:pPr>
        <w:spacing w:after="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b/>
          <w:color w:val="auto"/>
          <w:sz w:val="24"/>
          <w:szCs w:val="24"/>
          <w:highlight w:val="none"/>
        </w:rPr>
        <w:t>供应商应按采购文件第四章中《资格审查表》要求的内容逐项提供相应证明材料</w:t>
      </w:r>
      <w:r>
        <w:rPr>
          <w:rFonts w:hint="eastAsia" w:ascii="宋体" w:hAnsi="宋体" w:cs="宋体"/>
          <w:color w:val="auto"/>
          <w:sz w:val="24"/>
          <w:szCs w:val="24"/>
          <w:highlight w:val="none"/>
        </w:rPr>
        <w:t>；</w:t>
      </w:r>
    </w:p>
    <w:p w14:paraId="1AB0742E">
      <w:pPr>
        <w:spacing w:after="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2）证明材料仅限于供应商本身，参股或控股单位及独立法人子公司的材料不能作为证明材料，但供应商兼并的企业的材料可作为证明材料。</w:t>
      </w:r>
    </w:p>
    <w:p w14:paraId="6340DB16">
      <w:pPr>
        <w:spacing w:after="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3）部分材料格式要求见附件一～八。</w:t>
      </w:r>
    </w:p>
    <w:p w14:paraId="39996CBC">
      <w:pPr>
        <w:spacing w:line="440" w:lineRule="exact"/>
        <w:ind w:firstLine="4080" w:firstLineChars="1700"/>
        <w:rPr>
          <w:rFonts w:hint="eastAsia" w:ascii="宋体" w:hAnsi="宋体" w:cs="宋体"/>
          <w:color w:val="auto"/>
          <w:sz w:val="24"/>
          <w:szCs w:val="24"/>
          <w:highlight w:val="none"/>
        </w:rPr>
      </w:pPr>
    </w:p>
    <w:p w14:paraId="2E22CEB4">
      <w:pPr>
        <w:spacing w:after="0"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1F7C76B5">
      <w:pPr>
        <w:spacing w:before="100" w:beforeAutospacing="1" w:after="100" w:afterAutospacing="1"/>
        <w:outlineLvl w:val="4"/>
        <w:rPr>
          <w:rFonts w:hint="eastAsia" w:ascii="宋体" w:hAnsi="宋体" w:cs="宋体"/>
          <w:color w:val="auto"/>
          <w:sz w:val="24"/>
          <w:szCs w:val="24"/>
          <w:highlight w:val="none"/>
        </w:rPr>
      </w:pPr>
      <w:bookmarkStart w:id="176" w:name="_Toc55924013"/>
      <w:bookmarkStart w:id="177" w:name="_Toc494665012"/>
      <w:bookmarkStart w:id="178" w:name="_Toc494665565"/>
      <w:bookmarkStart w:id="179" w:name="_Toc494745329"/>
      <w:bookmarkStart w:id="180" w:name="_Toc494702282"/>
      <w:bookmarkStart w:id="181" w:name="_Toc494721112"/>
      <w:bookmarkStart w:id="182" w:name="_Toc494665962"/>
      <w:r>
        <w:rPr>
          <w:rFonts w:hint="eastAsia" w:ascii="宋体" w:hAnsi="宋体" w:cs="宋体"/>
          <w:color w:val="auto"/>
          <w:sz w:val="24"/>
          <w:szCs w:val="24"/>
          <w:highlight w:val="none"/>
        </w:rPr>
        <w:t>附件一 法人或者其他组织的营业执照等证明文件，自然人的身份证明</w:t>
      </w:r>
    </w:p>
    <w:p w14:paraId="24AB502A">
      <w:pPr>
        <w:pStyle w:val="16"/>
        <w:rPr>
          <w:rFonts w:hint="eastAsia" w:ascii="宋体" w:hAnsi="宋体" w:cs="宋体"/>
          <w:color w:val="auto"/>
          <w:sz w:val="24"/>
          <w:szCs w:val="24"/>
          <w:highlight w:val="none"/>
        </w:rPr>
      </w:pPr>
      <w:r>
        <w:rPr>
          <w:rFonts w:hint="eastAsia" w:ascii="宋体" w:hAnsi="宋体" w:cs="宋体"/>
          <w:color w:val="auto"/>
          <w:sz w:val="24"/>
          <w:szCs w:val="24"/>
          <w:highlight w:val="none"/>
        </w:rPr>
        <w:t>自行提供</w:t>
      </w:r>
    </w:p>
    <w:p w14:paraId="54D87952">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br w:type="page"/>
      </w:r>
    </w:p>
    <w:p w14:paraId="4714357A">
      <w:pPr>
        <w:spacing w:before="100" w:beforeAutospacing="1" w:after="100" w:afterAutospacing="1"/>
        <w:outlineLvl w:val="4"/>
        <w:rPr>
          <w:rFonts w:hint="eastAsia" w:ascii="宋体" w:hAnsi="宋体" w:cs="宋体"/>
          <w:color w:val="auto"/>
          <w:sz w:val="24"/>
          <w:szCs w:val="24"/>
          <w:highlight w:val="none"/>
        </w:rPr>
      </w:pPr>
      <w:r>
        <w:rPr>
          <w:rFonts w:hint="eastAsia" w:ascii="宋体" w:hAnsi="宋体" w:cs="宋体"/>
          <w:color w:val="auto"/>
          <w:sz w:val="24"/>
          <w:szCs w:val="24"/>
          <w:highlight w:val="none"/>
        </w:rPr>
        <w:t>附件二 财务状况报告，依法缴纳税收和社会保障资金的声明函</w:t>
      </w:r>
    </w:p>
    <w:p w14:paraId="16D43DA5">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财务状况报告，依法缴纳税收和社会保障资金的</w:t>
      </w:r>
    </w:p>
    <w:p w14:paraId="5B37D7AF">
      <w:pPr>
        <w:jc w:val="center"/>
        <w:rPr>
          <w:rFonts w:hint="eastAsia" w:ascii="宋体" w:hAnsi="宋体" w:cs="宋体"/>
          <w:b/>
          <w:bCs/>
          <w:color w:val="auto"/>
          <w:sz w:val="24"/>
          <w:szCs w:val="24"/>
          <w:highlight w:val="none"/>
        </w:rPr>
      </w:pPr>
      <w:r>
        <w:rPr>
          <w:rFonts w:hint="eastAsia" w:ascii="宋体" w:hAnsi="宋体" w:cs="宋体"/>
          <w:b/>
          <w:bCs/>
          <w:color w:val="auto"/>
          <w:sz w:val="36"/>
          <w:szCs w:val="36"/>
          <w:highlight w:val="none"/>
        </w:rPr>
        <w:t>声明函（参考格式</w:t>
      </w:r>
      <w:bookmarkEnd w:id="176"/>
      <w:r>
        <w:rPr>
          <w:rFonts w:hint="eastAsia" w:ascii="宋体" w:hAnsi="宋体" w:cs="宋体"/>
          <w:b/>
          <w:bCs/>
          <w:color w:val="auto"/>
          <w:sz w:val="36"/>
          <w:szCs w:val="36"/>
          <w:highlight w:val="none"/>
        </w:rPr>
        <w:t>）</w:t>
      </w:r>
    </w:p>
    <w:p w14:paraId="106FEF4A">
      <w:pPr>
        <w:spacing w:line="360" w:lineRule="auto"/>
        <w:rPr>
          <w:rFonts w:hint="eastAsia" w:ascii="宋体" w:hAnsi="宋体" w:cs="宋体"/>
          <w:b/>
          <w:color w:val="auto"/>
          <w:sz w:val="24"/>
          <w:szCs w:val="24"/>
          <w:highlight w:val="none"/>
        </w:rPr>
      </w:pPr>
    </w:p>
    <w:p w14:paraId="33826B78">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招标机构名称：</w:t>
      </w:r>
    </w:p>
    <w:p w14:paraId="6A9E3AA1">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u w:val="single"/>
        </w:rPr>
        <w:t xml:space="preserve">   （供应商全称）  </w:t>
      </w:r>
      <w:r>
        <w:rPr>
          <w:rFonts w:hint="eastAsia" w:ascii="宋体" w:hAnsi="宋体" w:cs="宋体"/>
          <w:bCs/>
          <w:color w:val="auto"/>
          <w:sz w:val="24"/>
          <w:szCs w:val="24"/>
          <w:highlight w:val="none"/>
        </w:rPr>
        <w:t>参加贵方组织的</w:t>
      </w:r>
      <w:r>
        <w:rPr>
          <w:rFonts w:hint="eastAsia" w:ascii="宋体" w:hAnsi="宋体" w:cs="宋体"/>
          <w:bCs/>
          <w:color w:val="auto"/>
          <w:sz w:val="24"/>
          <w:szCs w:val="24"/>
          <w:highlight w:val="none"/>
          <w:u w:val="single"/>
        </w:rPr>
        <w:t xml:space="preserve"> </w:t>
      </w:r>
      <w:r>
        <w:rPr>
          <w:rFonts w:hint="eastAsia" w:ascii="宋体" w:hAnsi="宋体" w:cs="宋体"/>
          <w:color w:val="auto"/>
          <w:sz w:val="24"/>
          <w:szCs w:val="24"/>
          <w:highlight w:val="none"/>
          <w:u w:val="single"/>
        </w:rPr>
        <w:t>（项目名称）</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项目（项目编号：</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）的政府采购活动，根据采购文件的规定提交相关资格证明文件。本单位郑重声明如下：</w:t>
      </w:r>
    </w:p>
    <w:p w14:paraId="298EBE77">
      <w:pPr>
        <w:pStyle w:val="99"/>
        <w:tabs>
          <w:tab w:val="left" w:pos="854"/>
        </w:tabs>
        <w:spacing w:after="0" w:line="360" w:lineRule="auto"/>
        <w:ind w:left="0" w:firstLine="482"/>
        <w:rPr>
          <w:rFonts w:hint="eastAsia" w:ascii="宋体" w:hAnsi="宋体" w:cs="宋体"/>
          <w:bCs/>
          <w:color w:val="auto"/>
          <w:sz w:val="24"/>
          <w:szCs w:val="24"/>
          <w:highlight w:val="none"/>
        </w:rPr>
      </w:pPr>
      <w:r>
        <w:rPr>
          <w:rFonts w:hint="eastAsia" w:ascii="宋体" w:hAnsi="宋体" w:cs="宋体"/>
          <w:bCs/>
          <w:color w:val="auto"/>
          <w:sz w:val="24"/>
          <w:szCs w:val="24"/>
          <w:highlight w:val="none"/>
        </w:rPr>
        <w:t>1.具有合法健全的财务会计制度及依法缴纳税收和社会保障资金。</w:t>
      </w:r>
    </w:p>
    <w:p w14:paraId="09608246">
      <w:pPr>
        <w:pStyle w:val="99"/>
        <w:tabs>
          <w:tab w:val="left" w:pos="854"/>
        </w:tabs>
        <w:spacing w:after="0" w:line="360" w:lineRule="auto"/>
        <w:ind w:left="0" w:firstLine="482"/>
        <w:rPr>
          <w:rFonts w:hint="eastAsia" w:ascii="宋体" w:hAnsi="宋体" w:cs="宋体"/>
          <w:bCs/>
          <w:color w:val="auto"/>
          <w:sz w:val="24"/>
          <w:szCs w:val="24"/>
          <w:highlight w:val="none"/>
        </w:rPr>
      </w:pPr>
      <w:r>
        <w:rPr>
          <w:rFonts w:hint="eastAsia" w:ascii="宋体" w:hAnsi="宋体" w:cs="宋体"/>
          <w:bCs/>
          <w:color w:val="auto"/>
          <w:sz w:val="24"/>
          <w:szCs w:val="24"/>
          <w:highlight w:val="none"/>
        </w:rPr>
        <w:t>2.如上述声明内容不实，本单位自愿接受政府采购监管部门按照《政府采购法》关于提供虚假材料的规定给予处罚。</w:t>
      </w:r>
    </w:p>
    <w:p w14:paraId="3D99EFAE">
      <w:pPr>
        <w:tabs>
          <w:tab w:val="left" w:pos="854"/>
        </w:tabs>
        <w:spacing w:line="360" w:lineRule="auto"/>
        <w:rPr>
          <w:rFonts w:hint="eastAsia" w:ascii="宋体" w:hAnsi="宋体" w:cs="宋体"/>
          <w:bCs/>
          <w:color w:val="auto"/>
          <w:sz w:val="24"/>
          <w:szCs w:val="24"/>
          <w:highlight w:val="none"/>
        </w:rPr>
      </w:pPr>
    </w:p>
    <w:p w14:paraId="3F981445">
      <w:pPr>
        <w:tabs>
          <w:tab w:val="left" w:pos="854"/>
        </w:tabs>
        <w:spacing w:line="360" w:lineRule="auto"/>
        <w:rPr>
          <w:rFonts w:hint="eastAsia" w:ascii="宋体" w:hAnsi="宋体" w:cs="宋体"/>
          <w:bCs/>
          <w:color w:val="auto"/>
          <w:sz w:val="24"/>
          <w:szCs w:val="24"/>
          <w:highlight w:val="none"/>
        </w:rPr>
      </w:pPr>
    </w:p>
    <w:p w14:paraId="78155233">
      <w:pPr>
        <w:spacing w:before="100" w:beforeAutospacing="1" w:after="100" w:afterAutospacing="1" w:line="360" w:lineRule="auto"/>
        <w:ind w:firstLine="3316" w:firstLineChars="1382"/>
        <w:rPr>
          <w:rFonts w:hint="eastAsia" w:ascii="宋体" w:hAnsi="宋体" w:cs="宋体"/>
          <w:bCs/>
          <w:color w:val="auto"/>
          <w:sz w:val="24"/>
          <w:szCs w:val="24"/>
          <w:highlight w:val="none"/>
          <w:u w:val="single"/>
          <w:lang w:val="zh-CN"/>
        </w:rPr>
      </w:pPr>
      <w:r>
        <w:rPr>
          <w:rFonts w:hint="eastAsia" w:ascii="宋体" w:hAnsi="宋体" w:cs="宋体"/>
          <w:bCs/>
          <w:color w:val="auto"/>
          <w:sz w:val="24"/>
          <w:szCs w:val="24"/>
          <w:highlight w:val="none"/>
        </w:rPr>
        <w:t>供应商</w:t>
      </w:r>
      <w:r>
        <w:rPr>
          <w:rFonts w:hint="eastAsia" w:ascii="宋体" w:hAnsi="宋体" w:cs="宋体"/>
          <w:bCs/>
          <w:color w:val="auto"/>
          <w:sz w:val="24"/>
          <w:szCs w:val="24"/>
          <w:highlight w:val="none"/>
          <w:lang w:val="zh-CN"/>
        </w:rPr>
        <w:t>（公章）：</w:t>
      </w:r>
      <w:r>
        <w:rPr>
          <w:rFonts w:hint="eastAsia" w:ascii="宋体" w:hAnsi="宋体" w:cs="宋体"/>
          <w:bCs/>
          <w:color w:val="auto"/>
          <w:sz w:val="24"/>
          <w:szCs w:val="24"/>
          <w:highlight w:val="none"/>
          <w:u w:val="single"/>
          <w:lang w:val="zh-CN"/>
        </w:rPr>
        <w:t xml:space="preserve">                           </w:t>
      </w:r>
    </w:p>
    <w:p w14:paraId="2CB553A2">
      <w:pPr>
        <w:ind w:firstLine="3360" w:firstLineChars="1400"/>
        <w:rPr>
          <w:rFonts w:hint="eastAsia" w:ascii="宋体" w:hAnsi="宋体" w:cs="宋体"/>
          <w:b/>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bCs/>
          <w:color w:val="auto"/>
          <w:sz w:val="24"/>
          <w:szCs w:val="24"/>
          <w:highlight w:val="none"/>
          <w:u w:val="single"/>
          <w:lang w:val="zh-CN"/>
        </w:rPr>
        <w:t xml:space="preserve">                                </w:t>
      </w:r>
    </w:p>
    <w:p w14:paraId="3B40A0DF">
      <w:pPr>
        <w:rPr>
          <w:rFonts w:hint="eastAsia" w:ascii="宋体" w:hAnsi="宋体" w:cs="宋体"/>
          <w:b/>
          <w:color w:val="auto"/>
          <w:sz w:val="24"/>
          <w:szCs w:val="24"/>
          <w:highlight w:val="none"/>
          <w:lang w:val="zh-CN"/>
        </w:rPr>
      </w:pPr>
      <w:r>
        <w:rPr>
          <w:rFonts w:hint="eastAsia" w:ascii="宋体" w:hAnsi="宋体" w:cs="宋体"/>
          <w:bCs/>
          <w:color w:val="auto"/>
          <w:sz w:val="24"/>
          <w:szCs w:val="24"/>
          <w:highlight w:val="none"/>
          <w:lang w:val="zh-CN"/>
        </w:rPr>
        <w:br w:type="page"/>
      </w:r>
    </w:p>
    <w:p w14:paraId="2D9F1070">
      <w:pPr>
        <w:spacing w:before="100" w:beforeAutospacing="1" w:after="100" w:afterAutospacing="1"/>
        <w:outlineLvl w:val="4"/>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附件</w:t>
      </w:r>
      <w:r>
        <w:rPr>
          <w:rFonts w:hint="eastAsia" w:ascii="宋体" w:hAnsi="宋体" w:cs="宋体"/>
          <w:color w:val="auto"/>
          <w:sz w:val="24"/>
          <w:szCs w:val="24"/>
          <w:highlight w:val="none"/>
        </w:rPr>
        <w:t>三 具备履行合同所必需的设备和专业技术能力承诺书（参考格式）</w:t>
      </w:r>
    </w:p>
    <w:p w14:paraId="3B03CA8A">
      <w:pPr>
        <w:spacing w:line="440" w:lineRule="exact"/>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具备履行合同所必需的设备和专业技术能力</w:t>
      </w:r>
    </w:p>
    <w:p w14:paraId="56A7E0B3">
      <w:pPr>
        <w:spacing w:line="440" w:lineRule="exact"/>
        <w:jc w:val="center"/>
        <w:rPr>
          <w:rFonts w:hint="eastAsia" w:ascii="宋体" w:hAnsi="宋体" w:cs="宋体"/>
          <w:b/>
          <w:bCs/>
          <w:color w:val="auto"/>
          <w:sz w:val="24"/>
          <w:szCs w:val="24"/>
          <w:highlight w:val="none"/>
        </w:rPr>
      </w:pPr>
      <w:r>
        <w:rPr>
          <w:rFonts w:hint="eastAsia" w:ascii="宋体" w:hAnsi="宋体" w:cs="宋体"/>
          <w:b/>
          <w:bCs/>
          <w:color w:val="auto"/>
          <w:sz w:val="36"/>
          <w:szCs w:val="36"/>
          <w:highlight w:val="none"/>
        </w:rPr>
        <w:t>承诺书</w:t>
      </w:r>
      <w:r>
        <w:rPr>
          <w:rFonts w:hint="eastAsia" w:ascii="宋体" w:hAnsi="宋体" w:cs="宋体"/>
          <w:b/>
          <w:color w:val="auto"/>
          <w:sz w:val="36"/>
          <w:szCs w:val="36"/>
          <w:highlight w:val="none"/>
        </w:rPr>
        <w:t>（参考格式）</w:t>
      </w:r>
    </w:p>
    <w:p w14:paraId="179A6447">
      <w:pPr>
        <w:spacing w:line="360" w:lineRule="auto"/>
        <w:rPr>
          <w:rFonts w:hint="eastAsia" w:ascii="宋体" w:hAnsi="宋体" w:cs="宋体"/>
          <w:b/>
          <w:color w:val="auto"/>
          <w:sz w:val="24"/>
          <w:szCs w:val="24"/>
          <w:highlight w:val="none"/>
        </w:rPr>
      </w:pPr>
    </w:p>
    <w:p w14:paraId="70D8F352">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招标机构名称：</w:t>
      </w:r>
    </w:p>
    <w:p w14:paraId="37C74860">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u w:val="single"/>
        </w:rPr>
        <w:t xml:space="preserve">   （供应商全称）  </w:t>
      </w:r>
      <w:r>
        <w:rPr>
          <w:rFonts w:hint="eastAsia" w:ascii="宋体" w:hAnsi="宋体" w:cs="宋体"/>
          <w:bCs/>
          <w:color w:val="auto"/>
          <w:sz w:val="24"/>
          <w:szCs w:val="24"/>
          <w:highlight w:val="none"/>
        </w:rPr>
        <w:t>参加贵方组织的</w:t>
      </w:r>
      <w:r>
        <w:rPr>
          <w:rFonts w:hint="eastAsia" w:ascii="宋体" w:hAnsi="宋体" w:cs="宋体"/>
          <w:bCs/>
          <w:color w:val="auto"/>
          <w:sz w:val="24"/>
          <w:szCs w:val="24"/>
          <w:highlight w:val="none"/>
          <w:u w:val="single"/>
        </w:rPr>
        <w:t xml:space="preserve"> </w:t>
      </w:r>
      <w:r>
        <w:rPr>
          <w:rFonts w:hint="eastAsia" w:ascii="宋体" w:hAnsi="宋体" w:cs="宋体"/>
          <w:color w:val="auto"/>
          <w:sz w:val="24"/>
          <w:szCs w:val="24"/>
          <w:highlight w:val="none"/>
          <w:u w:val="single"/>
        </w:rPr>
        <w:t>（项目名称）</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项目（项目编号：</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）的政府采购活动，根据采购文件的要求，本单位承诺如下：</w:t>
      </w:r>
    </w:p>
    <w:p w14:paraId="151D22A3">
      <w:pPr>
        <w:pStyle w:val="99"/>
        <w:tabs>
          <w:tab w:val="left" w:pos="854"/>
        </w:tabs>
        <w:spacing w:after="0" w:line="360" w:lineRule="auto"/>
        <w:ind w:left="0"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我公司已详细阅读采购文件内容，具备采购文件要求的履行合同所必需的设备和专业技术能力。</w:t>
      </w:r>
    </w:p>
    <w:p w14:paraId="69072AAA">
      <w:pPr>
        <w:pStyle w:val="99"/>
        <w:tabs>
          <w:tab w:val="left" w:pos="854"/>
        </w:tabs>
        <w:spacing w:after="0" w:line="360" w:lineRule="auto"/>
        <w:ind w:left="0"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如上述声明内容不实，本单位自愿接受政府采购监管部门按照《政府采购法》关于提供虚假材料的规定给予处罚。</w:t>
      </w:r>
    </w:p>
    <w:p w14:paraId="37CB95FC">
      <w:pPr>
        <w:tabs>
          <w:tab w:val="left" w:pos="854"/>
        </w:tabs>
        <w:spacing w:line="360" w:lineRule="auto"/>
        <w:rPr>
          <w:rFonts w:hint="eastAsia" w:ascii="宋体" w:hAnsi="宋体" w:cs="宋体"/>
          <w:bCs/>
          <w:color w:val="auto"/>
          <w:sz w:val="24"/>
          <w:szCs w:val="24"/>
          <w:highlight w:val="none"/>
        </w:rPr>
      </w:pPr>
    </w:p>
    <w:p w14:paraId="3462331A">
      <w:pPr>
        <w:tabs>
          <w:tab w:val="left" w:pos="854"/>
        </w:tabs>
        <w:spacing w:line="360" w:lineRule="auto"/>
        <w:rPr>
          <w:rFonts w:hint="eastAsia" w:ascii="宋体" w:hAnsi="宋体" w:cs="宋体"/>
          <w:bCs/>
          <w:color w:val="auto"/>
          <w:sz w:val="24"/>
          <w:szCs w:val="24"/>
          <w:highlight w:val="none"/>
        </w:rPr>
      </w:pPr>
    </w:p>
    <w:p w14:paraId="6D5747ED">
      <w:pPr>
        <w:spacing w:before="100" w:beforeAutospacing="1" w:after="100" w:afterAutospacing="1" w:line="360" w:lineRule="auto"/>
        <w:ind w:firstLine="3316" w:firstLineChars="1382"/>
        <w:rPr>
          <w:rFonts w:hint="eastAsia" w:ascii="宋体" w:hAnsi="宋体" w:cs="宋体"/>
          <w:bCs/>
          <w:color w:val="auto"/>
          <w:sz w:val="24"/>
          <w:szCs w:val="24"/>
          <w:highlight w:val="none"/>
          <w:u w:val="single"/>
          <w:lang w:val="zh-CN"/>
        </w:rPr>
      </w:pPr>
      <w:r>
        <w:rPr>
          <w:rFonts w:hint="eastAsia" w:ascii="宋体" w:hAnsi="宋体" w:cs="宋体"/>
          <w:bCs/>
          <w:color w:val="auto"/>
          <w:sz w:val="24"/>
          <w:szCs w:val="24"/>
          <w:highlight w:val="none"/>
        </w:rPr>
        <w:t>供应商</w:t>
      </w:r>
      <w:r>
        <w:rPr>
          <w:rFonts w:hint="eastAsia" w:ascii="宋体" w:hAnsi="宋体" w:cs="宋体"/>
          <w:bCs/>
          <w:color w:val="auto"/>
          <w:sz w:val="24"/>
          <w:szCs w:val="24"/>
          <w:highlight w:val="none"/>
          <w:lang w:val="zh-CN"/>
        </w:rPr>
        <w:t>（公章）：</w:t>
      </w:r>
      <w:r>
        <w:rPr>
          <w:rFonts w:hint="eastAsia" w:ascii="宋体" w:hAnsi="宋体" w:cs="宋体"/>
          <w:bCs/>
          <w:color w:val="auto"/>
          <w:sz w:val="24"/>
          <w:szCs w:val="24"/>
          <w:highlight w:val="none"/>
          <w:u w:val="single"/>
          <w:lang w:val="zh-CN"/>
        </w:rPr>
        <w:t xml:space="preserve">                           </w:t>
      </w:r>
    </w:p>
    <w:p w14:paraId="6FB7A5D7">
      <w:pPr>
        <w:ind w:left="3317"/>
        <w:rPr>
          <w:rFonts w:hint="eastAsia" w:ascii="宋体" w:hAnsi="宋体" w:cs="宋体"/>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bCs/>
          <w:color w:val="auto"/>
          <w:sz w:val="24"/>
          <w:szCs w:val="24"/>
          <w:highlight w:val="none"/>
          <w:u w:val="single"/>
          <w:lang w:val="zh-CN"/>
        </w:rPr>
        <w:t xml:space="preserve">                               </w:t>
      </w:r>
    </w:p>
    <w:p w14:paraId="290E9C20">
      <w:pPr>
        <w:topLinePunct/>
        <w:ind w:left="2420" w:leftChars="1100"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22CB78D1">
      <w:pPr>
        <w:spacing w:before="100" w:beforeAutospacing="1" w:after="100" w:afterAutospacing="1"/>
        <w:outlineLvl w:val="4"/>
        <w:rPr>
          <w:rFonts w:hint="eastAsia" w:ascii="宋体" w:hAnsi="宋体" w:cs="宋体"/>
          <w:color w:val="auto"/>
          <w:sz w:val="24"/>
          <w:szCs w:val="24"/>
          <w:highlight w:val="none"/>
        </w:rPr>
      </w:pPr>
      <w:r>
        <w:rPr>
          <w:rFonts w:hint="eastAsia" w:ascii="宋体" w:hAnsi="宋体" w:cs="宋体"/>
          <w:color w:val="auto"/>
          <w:sz w:val="24"/>
          <w:szCs w:val="24"/>
          <w:highlight w:val="none"/>
        </w:rPr>
        <w:t>附件四 部分资格材料格式要求――无重大违法记录声明格式</w:t>
      </w:r>
    </w:p>
    <w:p w14:paraId="239C0681">
      <w:pPr>
        <w:jc w:val="center"/>
        <w:rPr>
          <w:rFonts w:hint="eastAsia" w:ascii="宋体" w:hAnsi="宋体" w:cs="宋体"/>
          <w:b/>
          <w:color w:val="auto"/>
          <w:sz w:val="24"/>
          <w:szCs w:val="24"/>
          <w:highlight w:val="none"/>
        </w:rPr>
      </w:pPr>
      <w:r>
        <w:rPr>
          <w:rFonts w:hint="eastAsia" w:ascii="宋体" w:hAnsi="宋体" w:cs="宋体"/>
          <w:b/>
          <w:color w:val="auto"/>
          <w:sz w:val="36"/>
          <w:szCs w:val="36"/>
          <w:highlight w:val="none"/>
        </w:rPr>
        <w:t>无重大违法记录声明</w:t>
      </w:r>
    </w:p>
    <w:p w14:paraId="1F260725">
      <w:pPr>
        <w:spacing w:before="100" w:beforeAutospacing="1" w:after="100" w:afterAutospacing="1"/>
        <w:rPr>
          <w:rFonts w:hint="eastAsia" w:ascii="宋体" w:hAnsi="宋体" w:cs="宋体"/>
          <w:color w:val="auto"/>
          <w:sz w:val="24"/>
          <w:szCs w:val="24"/>
          <w:highlight w:val="none"/>
        </w:rPr>
      </w:pPr>
      <w:r>
        <w:rPr>
          <w:rFonts w:hint="eastAsia" w:ascii="宋体" w:hAnsi="宋体" w:cs="宋体"/>
          <w:b/>
          <w:bCs/>
          <w:color w:val="auto"/>
          <w:sz w:val="24"/>
          <w:szCs w:val="24"/>
          <w:highlight w:val="none"/>
        </w:rPr>
        <w:t>湖北国华项目管理咨询有限公司</w:t>
      </w:r>
      <w:r>
        <w:rPr>
          <w:rFonts w:hint="eastAsia" w:ascii="宋体" w:hAnsi="宋体" w:cs="宋体"/>
          <w:color w:val="auto"/>
          <w:sz w:val="24"/>
          <w:szCs w:val="24"/>
          <w:highlight w:val="none"/>
        </w:rPr>
        <w:t>：</w:t>
      </w:r>
    </w:p>
    <w:p w14:paraId="08F37C4C">
      <w:pPr>
        <w:spacing w:before="100" w:beforeAutospacing="1" w:after="100" w:afterAutospacing="1"/>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snapToGrid w:val="0"/>
          <w:color w:val="auto"/>
          <w:sz w:val="24"/>
          <w:szCs w:val="24"/>
          <w:highlight w:val="none"/>
        </w:rPr>
        <w:t>供应商</w:t>
      </w:r>
      <w:r>
        <w:rPr>
          <w:rFonts w:hint="eastAsia" w:ascii="宋体" w:hAnsi="宋体" w:cs="宋体"/>
          <w:color w:val="auto"/>
          <w:sz w:val="24"/>
          <w:szCs w:val="24"/>
          <w:highlight w:val="none"/>
        </w:rPr>
        <w:t>全称) 参加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)的政府采购活动，本单位郑重声明如下：</w:t>
      </w:r>
    </w:p>
    <w:p w14:paraId="5524090F">
      <w:pPr>
        <w:spacing w:before="100" w:beforeAutospacing="1" w:after="100" w:afterAutospacing="1"/>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rPr>
        <w:tab/>
      </w:r>
      <w:r>
        <w:rPr>
          <w:rFonts w:hint="eastAsia" w:ascii="宋体" w:hAnsi="宋体" w:cs="宋体"/>
          <w:color w:val="auto"/>
          <w:sz w:val="24"/>
          <w:szCs w:val="24"/>
          <w:highlight w:val="none"/>
        </w:rPr>
        <w:t>参加本项目政府采购活动前三年内，本单位未因违法经营受到刑事处罚或者责令停产停业、吊销许可证或者执照、较大数额罚款（根据各地方、各部门明确的听证范围确定较大数额罚款的额度）等行政处罚；</w:t>
      </w:r>
    </w:p>
    <w:p w14:paraId="1F8E3F4D">
      <w:pPr>
        <w:spacing w:before="100" w:beforeAutospacing="1" w:after="100" w:afterAutospacing="1"/>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rPr>
        <w:tab/>
      </w:r>
      <w:r>
        <w:rPr>
          <w:rFonts w:hint="eastAsia" w:ascii="宋体" w:hAnsi="宋体" w:cs="宋体"/>
          <w:color w:val="auto"/>
          <w:sz w:val="24"/>
          <w:szCs w:val="24"/>
          <w:highlight w:val="none"/>
        </w:rPr>
        <w:t>参加本项目政府采购活动前三年内，本单位未受到过全国各级人民政府财政部门依法作出的禁止参加政府采购活动等行政处罚决定；</w:t>
      </w:r>
    </w:p>
    <w:p w14:paraId="4DB7592B">
      <w:pPr>
        <w:spacing w:before="100" w:beforeAutospacing="1" w:after="100" w:afterAutospacing="1"/>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rPr>
        <w:tab/>
      </w:r>
      <w:r>
        <w:rPr>
          <w:rFonts w:hint="eastAsia" w:ascii="宋体" w:hAnsi="宋体" w:cs="宋体"/>
          <w:color w:val="auto"/>
          <w:sz w:val="24"/>
          <w:szCs w:val="24"/>
          <w:highlight w:val="none"/>
        </w:rPr>
        <w:t>如上述声明内容不实，本单位自愿接受政府采购监管部门按照《政府采购法》关于提供虚假材料的规定给予处罚。</w:t>
      </w:r>
    </w:p>
    <w:p w14:paraId="0546DBBF">
      <w:pPr>
        <w:spacing w:before="100" w:beforeAutospacing="1" w:after="100" w:afterAutospacing="1"/>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我方保证上述信息的完整、客观、真实、准确，并愿意承担我方因提供虚假材料谋骗取中标、成交所引起的一切法律后果。</w:t>
      </w:r>
    </w:p>
    <w:p w14:paraId="484B7580">
      <w:pPr>
        <w:spacing w:before="100" w:beforeAutospacing="1" w:after="100" w:afterAutospacing="1"/>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特此声明！</w:t>
      </w:r>
    </w:p>
    <w:p w14:paraId="246B2C4B">
      <w:pPr>
        <w:spacing w:before="100" w:beforeAutospacing="1" w:after="100" w:afterAutospacing="1"/>
        <w:ind w:firstLine="3316" w:firstLineChars="1382"/>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供应商名称（公章）：</w:t>
      </w:r>
      <w:r>
        <w:rPr>
          <w:rFonts w:hint="eastAsia" w:ascii="宋体" w:hAnsi="宋体" w:cs="宋体"/>
          <w:bCs/>
          <w:color w:val="auto"/>
          <w:sz w:val="24"/>
          <w:szCs w:val="24"/>
          <w:highlight w:val="none"/>
          <w:u w:val="single"/>
        </w:rPr>
        <w:t xml:space="preserve">                          </w:t>
      </w:r>
    </w:p>
    <w:p w14:paraId="09E2698C">
      <w:pPr>
        <w:spacing w:before="100" w:beforeAutospacing="1" w:after="100" w:afterAutospacing="1"/>
        <w:ind w:firstLine="3316" w:firstLineChars="1382"/>
        <w:rPr>
          <w:rFonts w:hint="eastAsia" w:ascii="宋体" w:hAnsi="宋体" w:cs="宋体"/>
          <w:color w:val="auto"/>
          <w:sz w:val="24"/>
          <w:szCs w:val="24"/>
          <w:highlight w:val="none"/>
        </w:rPr>
      </w:pPr>
      <w:r>
        <w:rPr>
          <w:rFonts w:hint="eastAsia" w:ascii="宋体" w:hAnsi="宋体" w:cs="宋体"/>
          <w:bCs/>
          <w:color w:val="auto"/>
          <w:sz w:val="24"/>
          <w:szCs w:val="24"/>
          <w:highlight w:val="none"/>
          <w:lang w:val="zh-CN"/>
        </w:rPr>
        <w:t>日期</w:t>
      </w:r>
      <w:r>
        <w:rPr>
          <w:rFonts w:hint="eastAsia" w:ascii="宋体" w:hAnsi="宋体" w:cs="宋体"/>
          <w:bCs/>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14:paraId="5F1E21E5">
      <w:pPr>
        <w:topLinePunct/>
        <w:ind w:left="2420" w:leftChars="1100" w:firstLine="420"/>
        <w:rPr>
          <w:rFonts w:hint="eastAsia" w:ascii="宋体" w:hAnsi="宋体" w:cs="宋体"/>
          <w:color w:val="auto"/>
          <w:sz w:val="24"/>
          <w:szCs w:val="24"/>
          <w:highlight w:val="none"/>
        </w:rPr>
      </w:pPr>
    </w:p>
    <w:p w14:paraId="2B96BEBC">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193260AB">
      <w:pPr>
        <w:snapToGrid w:val="0"/>
        <w:spacing w:before="100" w:beforeAutospacing="1" w:line="360" w:lineRule="auto"/>
        <w:outlineLvl w:val="4"/>
        <w:rPr>
          <w:rFonts w:hint="eastAsia" w:ascii="宋体" w:hAnsi="宋体" w:cs="宋体"/>
          <w:color w:val="auto"/>
          <w:sz w:val="24"/>
          <w:szCs w:val="24"/>
          <w:highlight w:val="none"/>
        </w:rPr>
      </w:pPr>
      <w:r>
        <w:rPr>
          <w:rFonts w:hint="eastAsia" w:ascii="宋体" w:hAnsi="宋体" w:cs="宋体"/>
          <w:color w:val="auto"/>
          <w:sz w:val="24"/>
          <w:szCs w:val="24"/>
          <w:highlight w:val="none"/>
        </w:rPr>
        <w:t>附件</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 xml:space="preserve"> 部分资格材料格式要求——供应商关联企业情况</w:t>
      </w:r>
    </w:p>
    <w:p w14:paraId="6079B278">
      <w:pPr>
        <w:snapToGrid w:val="0"/>
        <w:spacing w:before="100" w:beforeAutospacing="1"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供应商关联企业情况</w:t>
      </w:r>
    </w:p>
    <w:p w14:paraId="1AAB480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1.与我公司单位负责人为同一人的其他单位名称：</w:t>
      </w:r>
    </w:p>
    <w:p w14:paraId="4DA8C2B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口无;</w:t>
      </w:r>
    </w:p>
    <w:p w14:paraId="7D9DA86F">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口有:</w:t>
      </w:r>
      <w:r>
        <w:rPr>
          <w:rFonts w:hint="eastAsia" w:ascii="宋体" w:hAnsi="宋体" w:cs="宋体"/>
          <w:color w:val="auto"/>
          <w:sz w:val="24"/>
          <w:szCs w:val="24"/>
          <w:highlight w:val="none"/>
          <w:u w:val="single"/>
        </w:rPr>
        <w:t xml:space="preserve">                                                                      </w:t>
      </w:r>
    </w:p>
    <w:p w14:paraId="50BCAAEC">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w:t>
      </w:r>
    </w:p>
    <w:p w14:paraId="38AA017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2.与我公司存在控股、管理关系的其他单位的名称：</w:t>
      </w:r>
    </w:p>
    <w:p w14:paraId="5DCF2AA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口无；</w:t>
      </w:r>
    </w:p>
    <w:p w14:paraId="722E7498">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口有:</w:t>
      </w:r>
      <w:r>
        <w:rPr>
          <w:rFonts w:hint="eastAsia" w:ascii="宋体" w:hAnsi="宋体" w:cs="宋体"/>
          <w:color w:val="auto"/>
          <w:sz w:val="24"/>
          <w:szCs w:val="24"/>
          <w:highlight w:val="none"/>
          <w:u w:val="single"/>
        </w:rPr>
        <w:t xml:space="preserve">                                                                      </w:t>
      </w:r>
    </w:p>
    <w:p w14:paraId="244636F4">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w:t>
      </w:r>
    </w:p>
    <w:p w14:paraId="7FDAD846">
      <w:pPr>
        <w:spacing w:line="360" w:lineRule="auto"/>
        <w:ind w:firstLine="480" w:firstLineChars="200"/>
        <w:rPr>
          <w:rFonts w:hint="eastAsia" w:ascii="宋体" w:hAnsi="宋体" w:cs="宋体"/>
          <w:color w:val="auto"/>
          <w:sz w:val="24"/>
          <w:szCs w:val="24"/>
          <w:highlight w:val="none"/>
        </w:rPr>
      </w:pPr>
    </w:p>
    <w:p w14:paraId="6A38F43F">
      <w:pPr>
        <w:ind w:firstLine="480" w:firstLineChars="200"/>
        <w:rPr>
          <w:rFonts w:hint="eastAsia" w:ascii="宋体" w:hAnsi="宋体" w:cs="宋体"/>
          <w:color w:val="auto"/>
          <w:sz w:val="24"/>
          <w:szCs w:val="24"/>
          <w:highlight w:val="none"/>
        </w:rPr>
      </w:pPr>
    </w:p>
    <w:p w14:paraId="3512428E">
      <w:pPr>
        <w:snapToGrid w:val="0"/>
        <w:spacing w:before="100" w:beforeAutospacing="1" w:after="100" w:afterAutospacing="1"/>
        <w:ind w:firstLine="3316" w:firstLineChars="1382"/>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供应商名称（公章）：</w:t>
      </w:r>
      <w:r>
        <w:rPr>
          <w:rFonts w:hint="eastAsia" w:ascii="宋体" w:hAnsi="宋体" w:cs="宋体"/>
          <w:bCs/>
          <w:color w:val="auto"/>
          <w:sz w:val="24"/>
          <w:szCs w:val="24"/>
          <w:highlight w:val="none"/>
          <w:u w:val="single"/>
          <w:lang w:val="zh-CN"/>
        </w:rPr>
        <w:t xml:space="preserve">                           </w:t>
      </w:r>
    </w:p>
    <w:p w14:paraId="4BC1F3A2">
      <w:pPr>
        <w:snapToGrid w:val="0"/>
        <w:spacing w:before="100" w:beforeAutospacing="1" w:after="100" w:afterAutospacing="1"/>
        <w:ind w:firstLine="3316" w:firstLineChars="1382"/>
        <w:rPr>
          <w:rFonts w:hint="eastAsia" w:ascii="宋体" w:hAnsi="宋体" w:cs="宋体"/>
          <w:color w:val="auto"/>
          <w:sz w:val="24"/>
          <w:szCs w:val="24"/>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185A6628">
      <w:pPr>
        <w:rPr>
          <w:rFonts w:hint="eastAsia" w:ascii="宋体" w:hAnsi="宋体" w:cs="宋体"/>
          <w:color w:val="auto"/>
          <w:sz w:val="24"/>
          <w:szCs w:val="24"/>
          <w:highlight w:val="none"/>
        </w:rPr>
      </w:pPr>
    </w:p>
    <w:p w14:paraId="760338ED">
      <w:pPr>
        <w:rPr>
          <w:rFonts w:hint="eastAsia" w:ascii="宋体" w:hAnsi="宋体" w:cs="宋体"/>
          <w:color w:val="auto"/>
          <w:sz w:val="24"/>
          <w:szCs w:val="24"/>
          <w:highlight w:val="none"/>
        </w:rPr>
      </w:pPr>
      <w:r>
        <w:rPr>
          <w:rFonts w:hint="eastAsia" w:ascii="宋体" w:hAnsi="宋体" w:cs="宋体"/>
          <w:color w:val="auto"/>
          <w:sz w:val="24"/>
          <w:szCs w:val="24"/>
          <w:highlight w:val="none"/>
        </w:rPr>
        <w:t>说明:</w:t>
      </w:r>
    </w:p>
    <w:p w14:paraId="1AD4352E">
      <w:pPr>
        <w:rPr>
          <w:rFonts w:hint="eastAsia" w:ascii="宋体" w:hAnsi="宋体" w:cs="宋体"/>
          <w:color w:val="auto"/>
          <w:sz w:val="24"/>
          <w:szCs w:val="24"/>
          <w:highlight w:val="none"/>
        </w:rPr>
      </w:pPr>
      <w:r>
        <w:rPr>
          <w:rFonts w:hint="eastAsia" w:ascii="宋体" w:hAnsi="宋体" w:cs="宋体"/>
          <w:color w:val="auto"/>
          <w:sz w:val="24"/>
          <w:szCs w:val="24"/>
          <w:highlight w:val="none"/>
        </w:rPr>
        <w:t>1.单位负责人指单位法定代表人或者法律、行政法规规定代表单位行使职权的主要负责人；</w:t>
      </w:r>
    </w:p>
    <w:p w14:paraId="03A5358F">
      <w:pPr>
        <w:pStyle w:val="25"/>
        <w:jc w:val="both"/>
        <w:rPr>
          <w:rFonts w:hint="eastAsia" w:ascii="宋体" w:hAnsi="宋体" w:cs="宋体"/>
          <w:color w:val="auto"/>
          <w:kern w:val="0"/>
          <w:sz w:val="24"/>
          <w:szCs w:val="24"/>
          <w:highlight w:val="none"/>
        </w:rPr>
      </w:pPr>
      <w:r>
        <w:rPr>
          <w:rFonts w:hint="eastAsia" w:ascii="宋体" w:hAnsi="宋体" w:cs="宋体"/>
          <w:color w:val="auto"/>
          <w:sz w:val="24"/>
          <w:szCs w:val="24"/>
          <w:highlight w:val="none"/>
        </w:rPr>
        <w:t>2.控股、管理关系仅限于直接控股、直接管理关系，不包括间接的控股或管理关系。</w:t>
      </w:r>
    </w:p>
    <w:p w14:paraId="73DBB275">
      <w:pPr>
        <w:spacing w:after="0" w:line="440" w:lineRule="exact"/>
        <w:outlineLvl w:val="2"/>
        <w:rPr>
          <w:rFonts w:hint="eastAsia" w:ascii="宋体" w:hAnsi="宋体" w:cs="宋体"/>
          <w:color w:val="auto"/>
          <w:sz w:val="24"/>
          <w:szCs w:val="24"/>
          <w:highlight w:val="none"/>
          <w:lang w:val="zh-CN"/>
        </w:rPr>
      </w:pPr>
      <w:r>
        <w:rPr>
          <w:rFonts w:hint="eastAsia" w:ascii="宋体" w:hAnsi="宋体" w:cs="宋体"/>
          <w:b/>
          <w:color w:val="auto"/>
          <w:sz w:val="24"/>
          <w:szCs w:val="24"/>
          <w:highlight w:val="none"/>
        </w:rPr>
        <w:br w:type="page"/>
      </w:r>
      <w:r>
        <w:rPr>
          <w:rFonts w:hint="eastAsia" w:ascii="宋体" w:hAnsi="宋体" w:cs="宋体"/>
          <w:color w:val="auto"/>
          <w:sz w:val="24"/>
          <w:szCs w:val="24"/>
          <w:highlight w:val="none"/>
        </w:rPr>
        <w:t>供应商认为需要提供的其他资格证明材料或情况说明（</w:t>
      </w:r>
      <w:r>
        <w:rPr>
          <w:rFonts w:hint="eastAsia" w:ascii="宋体" w:hAnsi="宋体" w:cs="宋体"/>
          <w:i/>
          <w:color w:val="auto"/>
          <w:sz w:val="24"/>
          <w:szCs w:val="24"/>
          <w:highlight w:val="none"/>
        </w:rPr>
        <w:t>如有</w:t>
      </w:r>
      <w:r>
        <w:rPr>
          <w:rFonts w:hint="eastAsia" w:ascii="宋体" w:hAnsi="宋体" w:cs="宋体"/>
          <w:color w:val="auto"/>
          <w:sz w:val="24"/>
          <w:szCs w:val="24"/>
          <w:highlight w:val="none"/>
        </w:rPr>
        <w:t>）</w:t>
      </w:r>
    </w:p>
    <w:p w14:paraId="74E86871">
      <w:pPr>
        <w:spacing w:after="0"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27032390">
      <w:pPr>
        <w:numPr>
          <w:ilvl w:val="0"/>
          <w:numId w:val="61"/>
        </w:numPr>
        <w:tabs>
          <w:tab w:val="left" w:pos="426"/>
        </w:tabs>
        <w:spacing w:after="0" w:line="440" w:lineRule="exact"/>
        <w:ind w:left="0" w:firstLine="0"/>
        <w:contextualSpacing/>
        <w:jc w:val="both"/>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售后服务承诺函等（如需，格式自定）</w:t>
      </w:r>
    </w:p>
    <w:p w14:paraId="57995C1C">
      <w:pPr>
        <w:spacing w:after="0" w:line="440" w:lineRule="exact"/>
        <w:rPr>
          <w:rFonts w:hint="eastAsia" w:ascii="宋体" w:hAnsi="宋体" w:cs="宋体"/>
          <w:color w:val="auto"/>
          <w:sz w:val="24"/>
          <w:szCs w:val="24"/>
          <w:highlight w:val="none"/>
        </w:rPr>
      </w:pPr>
    </w:p>
    <w:p w14:paraId="2FFFF01D">
      <w:pPr>
        <w:spacing w:after="0"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04F35C83">
      <w:pPr>
        <w:numPr>
          <w:ilvl w:val="0"/>
          <w:numId w:val="61"/>
        </w:numPr>
        <w:tabs>
          <w:tab w:val="left" w:pos="426"/>
        </w:tabs>
        <w:spacing w:after="0" w:line="440" w:lineRule="exact"/>
        <w:ind w:left="0" w:firstLine="0"/>
        <w:contextualSpacing/>
        <w:jc w:val="both"/>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项目负责人、技术负责人简历表及证明材料</w:t>
      </w:r>
    </w:p>
    <w:p w14:paraId="37821C88">
      <w:pPr>
        <w:spacing w:line="44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项目负责人、技术负责人简历表</w:t>
      </w:r>
      <w:bookmarkEnd w:id="177"/>
      <w:bookmarkEnd w:id="178"/>
      <w:bookmarkEnd w:id="179"/>
      <w:bookmarkEnd w:id="180"/>
      <w:bookmarkEnd w:id="181"/>
      <w:bookmarkEnd w:id="182"/>
      <w:r>
        <w:rPr>
          <w:rFonts w:hint="eastAsia" w:ascii="宋体" w:hAnsi="宋体" w:cs="宋体"/>
          <w:b/>
          <w:bCs/>
          <w:color w:val="auto"/>
          <w:sz w:val="24"/>
          <w:szCs w:val="24"/>
          <w:highlight w:val="none"/>
        </w:rPr>
        <w:t>及证明材料</w:t>
      </w:r>
    </w:p>
    <w:p w14:paraId="0FE0F9DC">
      <w:pPr>
        <w:spacing w:after="0"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供应商：</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4"/>
          <w:szCs w:val="24"/>
          <w:highlight w:val="none"/>
          <w:lang w:val="zh-CN"/>
        </w:rPr>
        <w:t xml:space="preserve"> </w:t>
      </w:r>
    </w:p>
    <w:p w14:paraId="6A030F96">
      <w:pPr>
        <w:spacing w:after="0"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项目编号：</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4"/>
          <w:szCs w:val="24"/>
          <w:highlight w:val="none"/>
          <w:lang w:val="zh-CN"/>
        </w:rPr>
        <w:t xml:space="preserve">     </w:t>
      </w:r>
      <w:r>
        <w:rPr>
          <w:rFonts w:hint="eastAsia" w:ascii="宋体" w:hAnsi="宋体" w:cs="宋体"/>
          <w:bCs/>
          <w:color w:val="auto"/>
          <w:sz w:val="24"/>
          <w:szCs w:val="24"/>
          <w:highlight w:val="none"/>
          <w:lang w:val="zh-CN"/>
        </w:rPr>
        <w:t xml:space="preserve">                项目名称：</w:t>
      </w:r>
      <w:r>
        <w:rPr>
          <w:rFonts w:hint="eastAsia" w:ascii="宋体" w:hAnsi="宋体" w:cs="宋体"/>
          <w:bCs/>
          <w:color w:val="auto"/>
          <w:sz w:val="24"/>
          <w:szCs w:val="24"/>
          <w:highlight w:val="none"/>
          <w:u w:val="single"/>
          <w:lang w:val="zh-CN"/>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306"/>
        <w:gridCol w:w="1224"/>
        <w:gridCol w:w="612"/>
        <w:gridCol w:w="918"/>
        <w:gridCol w:w="918"/>
        <w:gridCol w:w="612"/>
        <w:gridCol w:w="1224"/>
        <w:gridCol w:w="306"/>
        <w:gridCol w:w="1530"/>
      </w:tblGrid>
      <w:tr w14:paraId="7E75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0" w:type="dxa"/>
            <w:tcBorders>
              <w:top w:val="single" w:color="auto" w:sz="4" w:space="0"/>
              <w:left w:val="single" w:color="auto" w:sz="4" w:space="0"/>
              <w:bottom w:val="single" w:color="auto" w:sz="4" w:space="0"/>
              <w:right w:val="single" w:color="auto" w:sz="4" w:space="0"/>
            </w:tcBorders>
            <w:vAlign w:val="center"/>
          </w:tcPr>
          <w:p w14:paraId="029BA5E4">
            <w:pPr>
              <w:autoSpaceDE w:val="0"/>
              <w:autoSpaceDN w:val="0"/>
              <w:adjustRightInd w:val="0"/>
              <w:spacing w:after="0"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姓    名</w:t>
            </w:r>
          </w:p>
        </w:tc>
        <w:tc>
          <w:tcPr>
            <w:tcW w:w="1530" w:type="dxa"/>
            <w:gridSpan w:val="2"/>
            <w:tcBorders>
              <w:top w:val="single" w:color="auto" w:sz="4" w:space="0"/>
              <w:left w:val="single" w:color="auto" w:sz="4" w:space="0"/>
              <w:bottom w:val="single" w:color="auto" w:sz="4" w:space="0"/>
              <w:right w:val="single" w:color="auto" w:sz="4" w:space="0"/>
            </w:tcBorders>
            <w:vAlign w:val="center"/>
          </w:tcPr>
          <w:p w14:paraId="0540081A">
            <w:pPr>
              <w:autoSpaceDE w:val="0"/>
              <w:autoSpaceDN w:val="0"/>
              <w:adjustRightInd w:val="0"/>
              <w:spacing w:after="0" w:line="440" w:lineRule="exact"/>
              <w:ind w:right="299" w:rightChars="136"/>
              <w:jc w:val="center"/>
              <w:rPr>
                <w:rFonts w:hint="eastAsia" w:ascii="宋体" w:hAnsi="宋体" w:cs="宋体"/>
                <w:color w:val="auto"/>
                <w:sz w:val="24"/>
                <w:szCs w:val="24"/>
                <w:highlight w:val="none"/>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14:paraId="41B42DB9">
            <w:pPr>
              <w:autoSpaceDE w:val="0"/>
              <w:autoSpaceDN w:val="0"/>
              <w:adjustRightInd w:val="0"/>
              <w:spacing w:after="0" w:line="440" w:lineRule="exact"/>
              <w:ind w:right="-134" w:rightChars="-61"/>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性    别</w:t>
            </w:r>
          </w:p>
        </w:tc>
        <w:tc>
          <w:tcPr>
            <w:tcW w:w="1530" w:type="dxa"/>
            <w:gridSpan w:val="2"/>
            <w:tcBorders>
              <w:top w:val="single" w:color="auto" w:sz="4" w:space="0"/>
              <w:left w:val="single" w:color="auto" w:sz="4" w:space="0"/>
              <w:bottom w:val="single" w:color="auto" w:sz="4" w:space="0"/>
              <w:right w:val="single" w:color="auto" w:sz="4" w:space="0"/>
            </w:tcBorders>
            <w:vAlign w:val="center"/>
          </w:tcPr>
          <w:p w14:paraId="00B25BDD">
            <w:pPr>
              <w:autoSpaceDE w:val="0"/>
              <w:autoSpaceDN w:val="0"/>
              <w:adjustRightInd w:val="0"/>
              <w:spacing w:after="0" w:line="440" w:lineRule="exact"/>
              <w:ind w:right="299" w:rightChars="136"/>
              <w:jc w:val="center"/>
              <w:rPr>
                <w:rFonts w:hint="eastAsia" w:ascii="宋体" w:hAnsi="宋体" w:cs="宋体"/>
                <w:color w:val="auto"/>
                <w:sz w:val="24"/>
                <w:szCs w:val="24"/>
                <w:highlight w:val="none"/>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14:paraId="17F23CD6">
            <w:pPr>
              <w:autoSpaceDE w:val="0"/>
              <w:autoSpaceDN w:val="0"/>
              <w:adjustRightInd w:val="0"/>
              <w:spacing w:after="0" w:line="440" w:lineRule="exact"/>
              <w:ind w:right="2" w:rightChars="1"/>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年    龄</w:t>
            </w:r>
          </w:p>
        </w:tc>
        <w:tc>
          <w:tcPr>
            <w:tcW w:w="1530" w:type="dxa"/>
            <w:tcBorders>
              <w:top w:val="single" w:color="auto" w:sz="4" w:space="0"/>
              <w:left w:val="single" w:color="auto" w:sz="4" w:space="0"/>
              <w:bottom w:val="single" w:color="auto" w:sz="4" w:space="0"/>
              <w:right w:val="single" w:color="auto" w:sz="4" w:space="0"/>
            </w:tcBorders>
            <w:vAlign w:val="center"/>
          </w:tcPr>
          <w:p w14:paraId="11C9A84E">
            <w:pPr>
              <w:autoSpaceDE w:val="0"/>
              <w:autoSpaceDN w:val="0"/>
              <w:adjustRightInd w:val="0"/>
              <w:spacing w:after="0" w:line="440" w:lineRule="exact"/>
              <w:ind w:right="299" w:rightChars="136"/>
              <w:jc w:val="center"/>
              <w:rPr>
                <w:rFonts w:hint="eastAsia" w:ascii="宋体" w:hAnsi="宋体" w:cs="宋体"/>
                <w:color w:val="auto"/>
                <w:sz w:val="24"/>
                <w:szCs w:val="24"/>
                <w:highlight w:val="none"/>
              </w:rPr>
            </w:pPr>
          </w:p>
        </w:tc>
      </w:tr>
      <w:tr w14:paraId="6C89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0" w:type="dxa"/>
            <w:tcBorders>
              <w:top w:val="single" w:color="auto" w:sz="4" w:space="0"/>
              <w:left w:val="single" w:color="auto" w:sz="4" w:space="0"/>
              <w:bottom w:val="single" w:color="auto" w:sz="4" w:space="0"/>
              <w:right w:val="single" w:color="auto" w:sz="4" w:space="0"/>
            </w:tcBorders>
            <w:vAlign w:val="center"/>
          </w:tcPr>
          <w:p w14:paraId="1F4AE60C">
            <w:pPr>
              <w:autoSpaceDE w:val="0"/>
              <w:autoSpaceDN w:val="0"/>
              <w:adjustRightInd w:val="0"/>
              <w:spacing w:after="0"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职    务</w:t>
            </w:r>
          </w:p>
        </w:tc>
        <w:tc>
          <w:tcPr>
            <w:tcW w:w="1530" w:type="dxa"/>
            <w:gridSpan w:val="2"/>
            <w:tcBorders>
              <w:top w:val="single" w:color="auto" w:sz="4" w:space="0"/>
              <w:left w:val="single" w:color="auto" w:sz="4" w:space="0"/>
              <w:bottom w:val="single" w:color="auto" w:sz="4" w:space="0"/>
              <w:right w:val="single" w:color="auto" w:sz="4" w:space="0"/>
            </w:tcBorders>
            <w:vAlign w:val="center"/>
          </w:tcPr>
          <w:p w14:paraId="6F646338">
            <w:pPr>
              <w:autoSpaceDE w:val="0"/>
              <w:autoSpaceDN w:val="0"/>
              <w:adjustRightInd w:val="0"/>
              <w:spacing w:after="0" w:line="440" w:lineRule="exact"/>
              <w:ind w:right="299" w:rightChars="136"/>
              <w:jc w:val="center"/>
              <w:rPr>
                <w:rFonts w:hint="eastAsia" w:ascii="宋体" w:hAnsi="宋体" w:cs="宋体"/>
                <w:color w:val="auto"/>
                <w:sz w:val="24"/>
                <w:szCs w:val="24"/>
                <w:highlight w:val="none"/>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14:paraId="78B14BE4">
            <w:pPr>
              <w:autoSpaceDE w:val="0"/>
              <w:autoSpaceDN w:val="0"/>
              <w:adjustRightInd w:val="0"/>
              <w:spacing w:after="0" w:line="440" w:lineRule="exact"/>
              <w:ind w:right="-88" w:rightChars="-4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职    称</w:t>
            </w:r>
          </w:p>
        </w:tc>
        <w:tc>
          <w:tcPr>
            <w:tcW w:w="1530" w:type="dxa"/>
            <w:gridSpan w:val="2"/>
            <w:tcBorders>
              <w:top w:val="single" w:color="auto" w:sz="4" w:space="0"/>
              <w:left w:val="single" w:color="auto" w:sz="4" w:space="0"/>
              <w:bottom w:val="single" w:color="auto" w:sz="4" w:space="0"/>
              <w:right w:val="single" w:color="auto" w:sz="4" w:space="0"/>
            </w:tcBorders>
            <w:vAlign w:val="center"/>
          </w:tcPr>
          <w:p w14:paraId="45E8D15E">
            <w:pPr>
              <w:autoSpaceDE w:val="0"/>
              <w:autoSpaceDN w:val="0"/>
              <w:adjustRightInd w:val="0"/>
              <w:spacing w:after="0" w:line="440" w:lineRule="exact"/>
              <w:ind w:right="299" w:rightChars="136"/>
              <w:jc w:val="center"/>
              <w:rPr>
                <w:rFonts w:hint="eastAsia" w:ascii="宋体" w:hAnsi="宋体" w:cs="宋体"/>
                <w:color w:val="auto"/>
                <w:sz w:val="24"/>
                <w:szCs w:val="24"/>
                <w:highlight w:val="none"/>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14:paraId="61D7A880">
            <w:pPr>
              <w:autoSpaceDE w:val="0"/>
              <w:autoSpaceDN w:val="0"/>
              <w:adjustRightInd w:val="0"/>
              <w:spacing w:after="0" w:line="440" w:lineRule="exact"/>
              <w:ind w:right="2" w:rightChars="1"/>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学    历</w:t>
            </w:r>
          </w:p>
        </w:tc>
        <w:tc>
          <w:tcPr>
            <w:tcW w:w="1530" w:type="dxa"/>
            <w:tcBorders>
              <w:top w:val="single" w:color="auto" w:sz="4" w:space="0"/>
              <w:left w:val="single" w:color="auto" w:sz="4" w:space="0"/>
              <w:bottom w:val="single" w:color="auto" w:sz="4" w:space="0"/>
              <w:right w:val="single" w:color="auto" w:sz="4" w:space="0"/>
            </w:tcBorders>
            <w:vAlign w:val="center"/>
          </w:tcPr>
          <w:p w14:paraId="6C32592F">
            <w:pPr>
              <w:autoSpaceDE w:val="0"/>
              <w:autoSpaceDN w:val="0"/>
              <w:adjustRightInd w:val="0"/>
              <w:spacing w:after="0" w:line="440" w:lineRule="exact"/>
              <w:ind w:right="2" w:rightChars="1"/>
              <w:jc w:val="center"/>
              <w:rPr>
                <w:rFonts w:hint="eastAsia" w:ascii="宋体" w:hAnsi="宋体" w:cs="宋体"/>
                <w:color w:val="auto"/>
                <w:sz w:val="24"/>
                <w:szCs w:val="24"/>
                <w:highlight w:val="none"/>
              </w:rPr>
            </w:pPr>
          </w:p>
        </w:tc>
      </w:tr>
      <w:tr w14:paraId="5497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30" w:type="dxa"/>
            <w:tcBorders>
              <w:top w:val="single" w:color="auto" w:sz="4" w:space="0"/>
              <w:left w:val="single" w:color="auto" w:sz="4" w:space="0"/>
              <w:bottom w:val="single" w:color="auto" w:sz="4" w:space="0"/>
              <w:right w:val="single" w:color="auto" w:sz="4" w:space="0"/>
            </w:tcBorders>
            <w:vAlign w:val="center"/>
          </w:tcPr>
          <w:p w14:paraId="108E9F18">
            <w:pPr>
              <w:autoSpaceDE w:val="0"/>
              <w:autoSpaceDN w:val="0"/>
              <w:adjustRightInd w:val="0"/>
              <w:spacing w:after="0"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参加工作</w:t>
            </w:r>
          </w:p>
          <w:p w14:paraId="3FF8E0C2">
            <w:pPr>
              <w:autoSpaceDE w:val="0"/>
              <w:autoSpaceDN w:val="0"/>
              <w:adjustRightInd w:val="0"/>
              <w:spacing w:after="0"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时间</w:t>
            </w:r>
          </w:p>
        </w:tc>
        <w:tc>
          <w:tcPr>
            <w:tcW w:w="1530" w:type="dxa"/>
            <w:gridSpan w:val="2"/>
            <w:tcBorders>
              <w:top w:val="single" w:color="auto" w:sz="4" w:space="0"/>
              <w:left w:val="single" w:color="auto" w:sz="4" w:space="0"/>
              <w:bottom w:val="single" w:color="auto" w:sz="4" w:space="0"/>
              <w:right w:val="single" w:color="auto" w:sz="4" w:space="0"/>
            </w:tcBorders>
            <w:vAlign w:val="center"/>
          </w:tcPr>
          <w:p w14:paraId="245425F4">
            <w:pPr>
              <w:autoSpaceDE w:val="0"/>
              <w:autoSpaceDN w:val="0"/>
              <w:adjustRightInd w:val="0"/>
              <w:spacing w:after="0" w:line="440" w:lineRule="exact"/>
              <w:jc w:val="center"/>
              <w:rPr>
                <w:rFonts w:hint="eastAsia" w:ascii="宋体" w:hAnsi="宋体" w:cs="宋体"/>
                <w:color w:val="auto"/>
                <w:sz w:val="24"/>
                <w:szCs w:val="24"/>
                <w:highlight w:val="none"/>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14:paraId="0A6A3C61">
            <w:pPr>
              <w:autoSpaceDE w:val="0"/>
              <w:autoSpaceDN w:val="0"/>
              <w:adjustRightInd w:val="0"/>
              <w:spacing w:after="0"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从事本行业工作年限</w:t>
            </w:r>
          </w:p>
        </w:tc>
        <w:tc>
          <w:tcPr>
            <w:tcW w:w="1530" w:type="dxa"/>
            <w:gridSpan w:val="2"/>
            <w:tcBorders>
              <w:top w:val="single" w:color="auto" w:sz="4" w:space="0"/>
              <w:left w:val="single" w:color="auto" w:sz="4" w:space="0"/>
              <w:bottom w:val="single" w:color="auto" w:sz="4" w:space="0"/>
              <w:right w:val="single" w:color="auto" w:sz="4" w:space="0"/>
            </w:tcBorders>
            <w:vAlign w:val="center"/>
          </w:tcPr>
          <w:p w14:paraId="291307C2">
            <w:pPr>
              <w:autoSpaceDE w:val="0"/>
              <w:autoSpaceDN w:val="0"/>
              <w:adjustRightInd w:val="0"/>
              <w:spacing w:after="0" w:line="440" w:lineRule="exact"/>
              <w:jc w:val="center"/>
              <w:rPr>
                <w:rFonts w:hint="eastAsia" w:ascii="宋体" w:hAnsi="宋体" w:cs="宋体"/>
                <w:color w:val="auto"/>
                <w:sz w:val="24"/>
                <w:szCs w:val="24"/>
                <w:highlight w:val="none"/>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14:paraId="2DECB416">
            <w:pPr>
              <w:autoSpaceDE w:val="0"/>
              <w:autoSpaceDN w:val="0"/>
              <w:adjustRightInd w:val="0"/>
              <w:spacing w:after="0"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个人专业资质及证书</w:t>
            </w:r>
          </w:p>
        </w:tc>
        <w:tc>
          <w:tcPr>
            <w:tcW w:w="1530" w:type="dxa"/>
            <w:tcBorders>
              <w:top w:val="single" w:color="auto" w:sz="4" w:space="0"/>
              <w:left w:val="single" w:color="auto" w:sz="4" w:space="0"/>
              <w:bottom w:val="single" w:color="auto" w:sz="4" w:space="0"/>
              <w:right w:val="single" w:color="auto" w:sz="4" w:space="0"/>
            </w:tcBorders>
            <w:vAlign w:val="center"/>
          </w:tcPr>
          <w:p w14:paraId="542A8F8C">
            <w:pPr>
              <w:autoSpaceDE w:val="0"/>
              <w:autoSpaceDN w:val="0"/>
              <w:adjustRightInd w:val="0"/>
              <w:spacing w:after="0" w:line="440" w:lineRule="exact"/>
              <w:jc w:val="center"/>
              <w:rPr>
                <w:rFonts w:hint="eastAsia" w:ascii="宋体" w:hAnsi="宋体" w:cs="宋体"/>
                <w:color w:val="auto"/>
                <w:sz w:val="24"/>
                <w:szCs w:val="24"/>
                <w:highlight w:val="none"/>
              </w:rPr>
            </w:pPr>
          </w:p>
        </w:tc>
      </w:tr>
      <w:tr w14:paraId="4321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180" w:type="dxa"/>
            <w:gridSpan w:val="10"/>
            <w:tcBorders>
              <w:top w:val="single" w:color="auto" w:sz="4" w:space="0"/>
              <w:left w:val="single" w:color="auto" w:sz="4" w:space="0"/>
              <w:bottom w:val="single" w:color="auto" w:sz="4" w:space="0"/>
              <w:right w:val="single" w:color="auto" w:sz="4" w:space="0"/>
            </w:tcBorders>
            <w:vAlign w:val="center"/>
          </w:tcPr>
          <w:p w14:paraId="7F3D608D">
            <w:pPr>
              <w:autoSpaceDE w:val="0"/>
              <w:autoSpaceDN w:val="0"/>
              <w:adjustRightInd w:val="0"/>
              <w:spacing w:after="0" w:line="440" w:lineRule="exact"/>
              <w:ind w:right="299" w:rightChars="13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个人简介</w:t>
            </w:r>
          </w:p>
        </w:tc>
      </w:tr>
      <w:tr w14:paraId="0C32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180" w:type="dxa"/>
            <w:gridSpan w:val="10"/>
            <w:tcBorders>
              <w:top w:val="single" w:color="auto" w:sz="4" w:space="0"/>
              <w:left w:val="single" w:color="auto" w:sz="4" w:space="0"/>
              <w:bottom w:val="single" w:color="auto" w:sz="4" w:space="0"/>
              <w:right w:val="single" w:color="auto" w:sz="4" w:space="0"/>
            </w:tcBorders>
            <w:vAlign w:val="center"/>
          </w:tcPr>
          <w:p w14:paraId="0F73BE18">
            <w:pPr>
              <w:autoSpaceDE w:val="0"/>
              <w:autoSpaceDN w:val="0"/>
              <w:adjustRightInd w:val="0"/>
              <w:spacing w:after="0" w:line="440" w:lineRule="exact"/>
              <w:ind w:right="299" w:rightChars="136"/>
              <w:jc w:val="center"/>
              <w:rPr>
                <w:rFonts w:hint="eastAsia" w:ascii="宋体" w:hAnsi="宋体" w:cs="宋体"/>
                <w:color w:val="auto"/>
                <w:sz w:val="24"/>
                <w:szCs w:val="24"/>
                <w:highlight w:val="none"/>
              </w:rPr>
            </w:pPr>
          </w:p>
        </w:tc>
      </w:tr>
      <w:tr w14:paraId="7B5A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180" w:type="dxa"/>
            <w:gridSpan w:val="10"/>
            <w:tcBorders>
              <w:top w:val="single" w:color="auto" w:sz="4" w:space="0"/>
              <w:left w:val="single" w:color="auto" w:sz="4" w:space="0"/>
              <w:bottom w:val="single" w:color="auto" w:sz="4" w:space="0"/>
              <w:right w:val="single" w:color="auto" w:sz="4" w:space="0"/>
            </w:tcBorders>
            <w:vAlign w:val="center"/>
          </w:tcPr>
          <w:p w14:paraId="2AEB20A2">
            <w:pPr>
              <w:autoSpaceDE w:val="0"/>
              <w:autoSpaceDN w:val="0"/>
              <w:adjustRightInd w:val="0"/>
              <w:spacing w:after="0" w:line="440" w:lineRule="exact"/>
              <w:ind w:right="299" w:rightChars="13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类似项目经验</w:t>
            </w:r>
          </w:p>
        </w:tc>
      </w:tr>
      <w:tr w14:paraId="4EB8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836" w:type="dxa"/>
            <w:gridSpan w:val="2"/>
            <w:tcBorders>
              <w:top w:val="single" w:color="auto" w:sz="4" w:space="0"/>
              <w:left w:val="single" w:color="auto" w:sz="4" w:space="0"/>
              <w:bottom w:val="single" w:color="auto" w:sz="4" w:space="0"/>
              <w:right w:val="single" w:color="auto" w:sz="4" w:space="0"/>
            </w:tcBorders>
            <w:vAlign w:val="center"/>
          </w:tcPr>
          <w:p w14:paraId="3E24214D">
            <w:pPr>
              <w:autoSpaceDE w:val="0"/>
              <w:autoSpaceDN w:val="0"/>
              <w:adjustRightInd w:val="0"/>
              <w:spacing w:after="0" w:line="440" w:lineRule="exact"/>
              <w:ind w:right="-83" w:rightChars="-38"/>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项目单位</w:t>
            </w:r>
          </w:p>
        </w:tc>
        <w:tc>
          <w:tcPr>
            <w:tcW w:w="1836" w:type="dxa"/>
            <w:gridSpan w:val="2"/>
            <w:tcBorders>
              <w:top w:val="single" w:color="auto" w:sz="4" w:space="0"/>
              <w:left w:val="single" w:color="auto" w:sz="4" w:space="0"/>
              <w:bottom w:val="single" w:color="auto" w:sz="4" w:space="0"/>
              <w:right w:val="single" w:color="auto" w:sz="4" w:space="0"/>
            </w:tcBorders>
            <w:vAlign w:val="center"/>
          </w:tcPr>
          <w:p w14:paraId="63E87570">
            <w:pPr>
              <w:autoSpaceDE w:val="0"/>
              <w:autoSpaceDN w:val="0"/>
              <w:adjustRightInd w:val="0"/>
              <w:spacing w:after="0" w:line="440" w:lineRule="exact"/>
              <w:ind w:right="-83" w:rightChars="-38"/>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1836" w:type="dxa"/>
            <w:gridSpan w:val="2"/>
            <w:tcBorders>
              <w:top w:val="single" w:color="auto" w:sz="4" w:space="0"/>
              <w:left w:val="single" w:color="auto" w:sz="4" w:space="0"/>
              <w:bottom w:val="single" w:color="auto" w:sz="4" w:space="0"/>
              <w:right w:val="single" w:color="auto" w:sz="4" w:space="0"/>
            </w:tcBorders>
            <w:vAlign w:val="center"/>
          </w:tcPr>
          <w:p w14:paraId="24869129">
            <w:pPr>
              <w:autoSpaceDE w:val="0"/>
              <w:autoSpaceDN w:val="0"/>
              <w:adjustRightInd w:val="0"/>
              <w:spacing w:after="0" w:line="440" w:lineRule="exact"/>
              <w:ind w:right="-83" w:rightChars="-38"/>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项目内容</w:t>
            </w:r>
          </w:p>
        </w:tc>
        <w:tc>
          <w:tcPr>
            <w:tcW w:w="1836" w:type="dxa"/>
            <w:gridSpan w:val="2"/>
            <w:tcBorders>
              <w:top w:val="single" w:color="auto" w:sz="4" w:space="0"/>
              <w:left w:val="single" w:color="auto" w:sz="4" w:space="0"/>
              <w:bottom w:val="single" w:color="auto" w:sz="4" w:space="0"/>
              <w:right w:val="single" w:color="auto" w:sz="4" w:space="0"/>
            </w:tcBorders>
            <w:vAlign w:val="center"/>
          </w:tcPr>
          <w:p w14:paraId="579723D4">
            <w:pPr>
              <w:autoSpaceDE w:val="0"/>
              <w:autoSpaceDN w:val="0"/>
              <w:adjustRightInd w:val="0"/>
              <w:spacing w:after="0" w:line="440" w:lineRule="exact"/>
              <w:ind w:right="-83" w:rightChars="-38"/>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项目金额</w:t>
            </w:r>
          </w:p>
        </w:tc>
        <w:tc>
          <w:tcPr>
            <w:tcW w:w="1836" w:type="dxa"/>
            <w:gridSpan w:val="2"/>
            <w:tcBorders>
              <w:top w:val="single" w:color="auto" w:sz="4" w:space="0"/>
              <w:left w:val="single" w:color="auto" w:sz="4" w:space="0"/>
              <w:bottom w:val="single" w:color="auto" w:sz="4" w:space="0"/>
              <w:right w:val="single" w:color="auto" w:sz="4" w:space="0"/>
            </w:tcBorders>
            <w:vAlign w:val="center"/>
          </w:tcPr>
          <w:p w14:paraId="1F77B949">
            <w:pPr>
              <w:autoSpaceDE w:val="0"/>
              <w:autoSpaceDN w:val="0"/>
              <w:adjustRightInd w:val="0"/>
              <w:spacing w:after="0" w:line="440" w:lineRule="exact"/>
              <w:ind w:right="-83" w:rightChars="-38"/>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项目时间</w:t>
            </w:r>
          </w:p>
        </w:tc>
      </w:tr>
      <w:tr w14:paraId="31F9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836" w:type="dxa"/>
            <w:gridSpan w:val="2"/>
            <w:tcBorders>
              <w:top w:val="single" w:color="auto" w:sz="4" w:space="0"/>
              <w:left w:val="single" w:color="auto" w:sz="4" w:space="0"/>
              <w:bottom w:val="single" w:color="auto" w:sz="4" w:space="0"/>
              <w:right w:val="single" w:color="auto" w:sz="4" w:space="0"/>
            </w:tcBorders>
            <w:vAlign w:val="center"/>
          </w:tcPr>
          <w:p w14:paraId="281B14C1">
            <w:pPr>
              <w:autoSpaceDE w:val="0"/>
              <w:autoSpaceDN w:val="0"/>
              <w:adjustRightInd w:val="0"/>
              <w:spacing w:after="0" w:line="440" w:lineRule="exact"/>
              <w:ind w:right="-83" w:rightChars="-38"/>
              <w:jc w:val="center"/>
              <w:rPr>
                <w:rFonts w:hint="eastAsia" w:ascii="宋体" w:hAnsi="宋体" w:cs="宋体"/>
                <w:color w:val="auto"/>
                <w:sz w:val="24"/>
                <w:szCs w:val="24"/>
                <w:highlight w:val="none"/>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14:paraId="08B9C1FC">
            <w:pPr>
              <w:autoSpaceDE w:val="0"/>
              <w:autoSpaceDN w:val="0"/>
              <w:adjustRightInd w:val="0"/>
              <w:spacing w:after="0" w:line="440" w:lineRule="exact"/>
              <w:ind w:right="-83" w:rightChars="-38"/>
              <w:jc w:val="center"/>
              <w:rPr>
                <w:rFonts w:hint="eastAsia" w:ascii="宋体" w:hAnsi="宋体" w:cs="宋体"/>
                <w:color w:val="auto"/>
                <w:sz w:val="24"/>
                <w:szCs w:val="24"/>
                <w:highlight w:val="none"/>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14:paraId="4825BE85">
            <w:pPr>
              <w:autoSpaceDE w:val="0"/>
              <w:autoSpaceDN w:val="0"/>
              <w:adjustRightInd w:val="0"/>
              <w:spacing w:after="0" w:line="440" w:lineRule="exact"/>
              <w:ind w:right="-83" w:rightChars="-38"/>
              <w:jc w:val="center"/>
              <w:rPr>
                <w:rFonts w:hint="eastAsia" w:ascii="宋体" w:hAnsi="宋体" w:cs="宋体"/>
                <w:color w:val="auto"/>
                <w:sz w:val="24"/>
                <w:szCs w:val="24"/>
                <w:highlight w:val="none"/>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14:paraId="2DD6F258">
            <w:pPr>
              <w:autoSpaceDE w:val="0"/>
              <w:autoSpaceDN w:val="0"/>
              <w:adjustRightInd w:val="0"/>
              <w:spacing w:after="0" w:line="440" w:lineRule="exact"/>
              <w:ind w:right="-83" w:rightChars="-38"/>
              <w:jc w:val="center"/>
              <w:rPr>
                <w:rFonts w:hint="eastAsia" w:ascii="宋体" w:hAnsi="宋体" w:cs="宋体"/>
                <w:color w:val="auto"/>
                <w:sz w:val="24"/>
                <w:szCs w:val="24"/>
                <w:highlight w:val="none"/>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14:paraId="37E9B8BB">
            <w:pPr>
              <w:autoSpaceDE w:val="0"/>
              <w:autoSpaceDN w:val="0"/>
              <w:adjustRightInd w:val="0"/>
              <w:spacing w:after="0" w:line="440" w:lineRule="exact"/>
              <w:ind w:right="-83" w:rightChars="-38"/>
              <w:jc w:val="center"/>
              <w:rPr>
                <w:rFonts w:hint="eastAsia" w:ascii="宋体" w:hAnsi="宋体" w:cs="宋体"/>
                <w:color w:val="auto"/>
                <w:sz w:val="24"/>
                <w:szCs w:val="24"/>
                <w:highlight w:val="none"/>
              </w:rPr>
            </w:pPr>
          </w:p>
        </w:tc>
      </w:tr>
      <w:tr w14:paraId="5FDC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836" w:type="dxa"/>
            <w:gridSpan w:val="2"/>
            <w:tcBorders>
              <w:top w:val="single" w:color="auto" w:sz="4" w:space="0"/>
              <w:left w:val="single" w:color="auto" w:sz="4" w:space="0"/>
              <w:bottom w:val="single" w:color="auto" w:sz="4" w:space="0"/>
              <w:right w:val="single" w:color="auto" w:sz="4" w:space="0"/>
            </w:tcBorders>
            <w:vAlign w:val="center"/>
          </w:tcPr>
          <w:p w14:paraId="5BD77A98">
            <w:pPr>
              <w:autoSpaceDE w:val="0"/>
              <w:autoSpaceDN w:val="0"/>
              <w:adjustRightInd w:val="0"/>
              <w:spacing w:after="0" w:line="440" w:lineRule="exact"/>
              <w:ind w:right="-83" w:rightChars="-38"/>
              <w:jc w:val="center"/>
              <w:rPr>
                <w:rFonts w:hint="eastAsia" w:ascii="宋体" w:hAnsi="宋体" w:cs="宋体"/>
                <w:color w:val="auto"/>
                <w:sz w:val="24"/>
                <w:szCs w:val="24"/>
                <w:highlight w:val="none"/>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14:paraId="5A1DFD78">
            <w:pPr>
              <w:autoSpaceDE w:val="0"/>
              <w:autoSpaceDN w:val="0"/>
              <w:adjustRightInd w:val="0"/>
              <w:spacing w:after="0" w:line="440" w:lineRule="exact"/>
              <w:ind w:right="-83" w:rightChars="-38"/>
              <w:jc w:val="center"/>
              <w:rPr>
                <w:rFonts w:hint="eastAsia" w:ascii="宋体" w:hAnsi="宋体" w:cs="宋体"/>
                <w:color w:val="auto"/>
                <w:sz w:val="24"/>
                <w:szCs w:val="24"/>
                <w:highlight w:val="none"/>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14:paraId="0200B7F9">
            <w:pPr>
              <w:autoSpaceDE w:val="0"/>
              <w:autoSpaceDN w:val="0"/>
              <w:adjustRightInd w:val="0"/>
              <w:spacing w:after="0" w:line="440" w:lineRule="exact"/>
              <w:ind w:right="-83" w:rightChars="-38"/>
              <w:jc w:val="center"/>
              <w:rPr>
                <w:rFonts w:hint="eastAsia" w:ascii="宋体" w:hAnsi="宋体" w:cs="宋体"/>
                <w:color w:val="auto"/>
                <w:sz w:val="24"/>
                <w:szCs w:val="24"/>
                <w:highlight w:val="none"/>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14:paraId="1778C2E3">
            <w:pPr>
              <w:autoSpaceDE w:val="0"/>
              <w:autoSpaceDN w:val="0"/>
              <w:adjustRightInd w:val="0"/>
              <w:spacing w:after="0" w:line="440" w:lineRule="exact"/>
              <w:ind w:right="-83" w:rightChars="-38"/>
              <w:jc w:val="center"/>
              <w:rPr>
                <w:rFonts w:hint="eastAsia" w:ascii="宋体" w:hAnsi="宋体" w:cs="宋体"/>
                <w:color w:val="auto"/>
                <w:sz w:val="24"/>
                <w:szCs w:val="24"/>
                <w:highlight w:val="none"/>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14:paraId="124296AD">
            <w:pPr>
              <w:autoSpaceDE w:val="0"/>
              <w:autoSpaceDN w:val="0"/>
              <w:adjustRightInd w:val="0"/>
              <w:spacing w:after="0" w:line="440" w:lineRule="exact"/>
              <w:ind w:right="-83" w:rightChars="-38"/>
              <w:jc w:val="center"/>
              <w:rPr>
                <w:rFonts w:hint="eastAsia" w:ascii="宋体" w:hAnsi="宋体" w:cs="宋体"/>
                <w:color w:val="auto"/>
                <w:sz w:val="24"/>
                <w:szCs w:val="24"/>
                <w:highlight w:val="none"/>
              </w:rPr>
            </w:pPr>
          </w:p>
        </w:tc>
      </w:tr>
      <w:tr w14:paraId="74E2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836" w:type="dxa"/>
            <w:gridSpan w:val="2"/>
            <w:tcBorders>
              <w:top w:val="single" w:color="auto" w:sz="4" w:space="0"/>
              <w:left w:val="single" w:color="auto" w:sz="4" w:space="0"/>
              <w:bottom w:val="single" w:color="auto" w:sz="4" w:space="0"/>
              <w:right w:val="single" w:color="auto" w:sz="4" w:space="0"/>
            </w:tcBorders>
            <w:vAlign w:val="center"/>
          </w:tcPr>
          <w:p w14:paraId="58F81039">
            <w:pPr>
              <w:autoSpaceDE w:val="0"/>
              <w:autoSpaceDN w:val="0"/>
              <w:adjustRightInd w:val="0"/>
              <w:spacing w:after="0" w:line="440" w:lineRule="exact"/>
              <w:ind w:right="-83" w:rightChars="-38"/>
              <w:jc w:val="center"/>
              <w:rPr>
                <w:rFonts w:hint="eastAsia" w:ascii="宋体" w:hAnsi="宋体" w:cs="宋体"/>
                <w:color w:val="auto"/>
                <w:sz w:val="24"/>
                <w:szCs w:val="24"/>
                <w:highlight w:val="none"/>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14:paraId="7A5193CB">
            <w:pPr>
              <w:autoSpaceDE w:val="0"/>
              <w:autoSpaceDN w:val="0"/>
              <w:adjustRightInd w:val="0"/>
              <w:spacing w:after="0" w:line="440" w:lineRule="exact"/>
              <w:ind w:right="-83" w:rightChars="-38"/>
              <w:jc w:val="center"/>
              <w:rPr>
                <w:rFonts w:hint="eastAsia" w:ascii="宋体" w:hAnsi="宋体" w:cs="宋体"/>
                <w:color w:val="auto"/>
                <w:sz w:val="24"/>
                <w:szCs w:val="24"/>
                <w:highlight w:val="none"/>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14:paraId="69F448D4">
            <w:pPr>
              <w:autoSpaceDE w:val="0"/>
              <w:autoSpaceDN w:val="0"/>
              <w:adjustRightInd w:val="0"/>
              <w:spacing w:after="0" w:line="440" w:lineRule="exact"/>
              <w:ind w:right="-83" w:rightChars="-38"/>
              <w:jc w:val="center"/>
              <w:rPr>
                <w:rFonts w:hint="eastAsia" w:ascii="宋体" w:hAnsi="宋体" w:cs="宋体"/>
                <w:color w:val="auto"/>
                <w:sz w:val="24"/>
                <w:szCs w:val="24"/>
                <w:highlight w:val="none"/>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14:paraId="7108D3C8">
            <w:pPr>
              <w:autoSpaceDE w:val="0"/>
              <w:autoSpaceDN w:val="0"/>
              <w:adjustRightInd w:val="0"/>
              <w:spacing w:after="0" w:line="440" w:lineRule="exact"/>
              <w:ind w:right="-83" w:rightChars="-38"/>
              <w:jc w:val="center"/>
              <w:rPr>
                <w:rFonts w:hint="eastAsia" w:ascii="宋体" w:hAnsi="宋体" w:cs="宋体"/>
                <w:color w:val="auto"/>
                <w:sz w:val="24"/>
                <w:szCs w:val="24"/>
                <w:highlight w:val="none"/>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14:paraId="2AB4D4DA">
            <w:pPr>
              <w:autoSpaceDE w:val="0"/>
              <w:autoSpaceDN w:val="0"/>
              <w:adjustRightInd w:val="0"/>
              <w:spacing w:after="0" w:line="440" w:lineRule="exact"/>
              <w:ind w:right="-83" w:rightChars="-38"/>
              <w:jc w:val="center"/>
              <w:rPr>
                <w:rFonts w:hint="eastAsia" w:ascii="宋体" w:hAnsi="宋体" w:cs="宋体"/>
                <w:color w:val="auto"/>
                <w:sz w:val="24"/>
                <w:szCs w:val="24"/>
                <w:highlight w:val="none"/>
              </w:rPr>
            </w:pPr>
          </w:p>
        </w:tc>
      </w:tr>
      <w:tr w14:paraId="69F6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836" w:type="dxa"/>
            <w:gridSpan w:val="2"/>
            <w:tcBorders>
              <w:top w:val="single" w:color="auto" w:sz="4" w:space="0"/>
              <w:left w:val="single" w:color="auto" w:sz="4" w:space="0"/>
              <w:bottom w:val="single" w:color="auto" w:sz="4" w:space="0"/>
              <w:right w:val="single" w:color="auto" w:sz="4" w:space="0"/>
            </w:tcBorders>
            <w:vAlign w:val="center"/>
          </w:tcPr>
          <w:p w14:paraId="2D976167">
            <w:pPr>
              <w:autoSpaceDE w:val="0"/>
              <w:autoSpaceDN w:val="0"/>
              <w:adjustRightInd w:val="0"/>
              <w:spacing w:after="0" w:line="440" w:lineRule="exact"/>
              <w:ind w:right="-83" w:rightChars="-38"/>
              <w:jc w:val="center"/>
              <w:rPr>
                <w:rFonts w:hint="eastAsia" w:ascii="宋体" w:hAnsi="宋体" w:cs="宋体"/>
                <w:color w:val="auto"/>
                <w:sz w:val="24"/>
                <w:szCs w:val="24"/>
                <w:highlight w:val="none"/>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14:paraId="0F172458">
            <w:pPr>
              <w:autoSpaceDE w:val="0"/>
              <w:autoSpaceDN w:val="0"/>
              <w:adjustRightInd w:val="0"/>
              <w:spacing w:after="0" w:line="440" w:lineRule="exact"/>
              <w:ind w:right="-83" w:rightChars="-38"/>
              <w:jc w:val="center"/>
              <w:rPr>
                <w:rFonts w:hint="eastAsia" w:ascii="宋体" w:hAnsi="宋体" w:cs="宋体"/>
                <w:color w:val="auto"/>
                <w:sz w:val="24"/>
                <w:szCs w:val="24"/>
                <w:highlight w:val="none"/>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14:paraId="2F84E7D0">
            <w:pPr>
              <w:autoSpaceDE w:val="0"/>
              <w:autoSpaceDN w:val="0"/>
              <w:adjustRightInd w:val="0"/>
              <w:spacing w:after="0" w:line="440" w:lineRule="exact"/>
              <w:ind w:right="-83" w:rightChars="-38"/>
              <w:jc w:val="center"/>
              <w:rPr>
                <w:rFonts w:hint="eastAsia" w:ascii="宋体" w:hAnsi="宋体" w:cs="宋体"/>
                <w:color w:val="auto"/>
                <w:sz w:val="24"/>
                <w:szCs w:val="24"/>
                <w:highlight w:val="none"/>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14:paraId="0C415355">
            <w:pPr>
              <w:autoSpaceDE w:val="0"/>
              <w:autoSpaceDN w:val="0"/>
              <w:adjustRightInd w:val="0"/>
              <w:spacing w:after="0" w:line="440" w:lineRule="exact"/>
              <w:ind w:right="-83" w:rightChars="-38"/>
              <w:jc w:val="center"/>
              <w:rPr>
                <w:rFonts w:hint="eastAsia" w:ascii="宋体" w:hAnsi="宋体" w:cs="宋体"/>
                <w:color w:val="auto"/>
                <w:sz w:val="24"/>
                <w:szCs w:val="24"/>
                <w:highlight w:val="none"/>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14:paraId="040A652E">
            <w:pPr>
              <w:autoSpaceDE w:val="0"/>
              <w:autoSpaceDN w:val="0"/>
              <w:adjustRightInd w:val="0"/>
              <w:spacing w:after="0" w:line="440" w:lineRule="exact"/>
              <w:ind w:right="-83" w:rightChars="-38"/>
              <w:jc w:val="center"/>
              <w:rPr>
                <w:rFonts w:hint="eastAsia" w:ascii="宋体" w:hAnsi="宋体" w:cs="宋体"/>
                <w:color w:val="auto"/>
                <w:sz w:val="24"/>
                <w:szCs w:val="24"/>
                <w:highlight w:val="none"/>
              </w:rPr>
            </w:pPr>
          </w:p>
        </w:tc>
      </w:tr>
      <w:tr w14:paraId="1A625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836" w:type="dxa"/>
            <w:gridSpan w:val="2"/>
            <w:tcBorders>
              <w:top w:val="single" w:color="auto" w:sz="4" w:space="0"/>
              <w:left w:val="single" w:color="auto" w:sz="4" w:space="0"/>
              <w:bottom w:val="single" w:color="auto" w:sz="4" w:space="0"/>
              <w:right w:val="single" w:color="auto" w:sz="4" w:space="0"/>
            </w:tcBorders>
            <w:vAlign w:val="center"/>
          </w:tcPr>
          <w:p w14:paraId="4B6EE5E5">
            <w:pPr>
              <w:autoSpaceDE w:val="0"/>
              <w:autoSpaceDN w:val="0"/>
              <w:adjustRightInd w:val="0"/>
              <w:spacing w:after="0" w:line="440" w:lineRule="exact"/>
              <w:ind w:right="-83" w:rightChars="-38"/>
              <w:jc w:val="center"/>
              <w:rPr>
                <w:rFonts w:hint="eastAsia" w:ascii="宋体" w:hAnsi="宋体" w:cs="宋体"/>
                <w:color w:val="auto"/>
                <w:sz w:val="24"/>
                <w:szCs w:val="24"/>
                <w:highlight w:val="none"/>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14:paraId="2F6D1B0D">
            <w:pPr>
              <w:autoSpaceDE w:val="0"/>
              <w:autoSpaceDN w:val="0"/>
              <w:adjustRightInd w:val="0"/>
              <w:spacing w:after="0" w:line="440" w:lineRule="exact"/>
              <w:ind w:right="-83" w:rightChars="-38"/>
              <w:jc w:val="center"/>
              <w:rPr>
                <w:rFonts w:hint="eastAsia" w:ascii="宋体" w:hAnsi="宋体" w:cs="宋体"/>
                <w:color w:val="auto"/>
                <w:sz w:val="24"/>
                <w:szCs w:val="24"/>
                <w:highlight w:val="none"/>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14:paraId="15D74E02">
            <w:pPr>
              <w:autoSpaceDE w:val="0"/>
              <w:autoSpaceDN w:val="0"/>
              <w:adjustRightInd w:val="0"/>
              <w:spacing w:after="0" w:line="440" w:lineRule="exact"/>
              <w:ind w:right="-83" w:rightChars="-38"/>
              <w:jc w:val="center"/>
              <w:rPr>
                <w:rFonts w:hint="eastAsia" w:ascii="宋体" w:hAnsi="宋体" w:cs="宋体"/>
                <w:color w:val="auto"/>
                <w:sz w:val="24"/>
                <w:szCs w:val="24"/>
                <w:highlight w:val="none"/>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14:paraId="058450E4">
            <w:pPr>
              <w:autoSpaceDE w:val="0"/>
              <w:autoSpaceDN w:val="0"/>
              <w:adjustRightInd w:val="0"/>
              <w:spacing w:after="0" w:line="440" w:lineRule="exact"/>
              <w:ind w:right="-83" w:rightChars="-38"/>
              <w:jc w:val="center"/>
              <w:rPr>
                <w:rFonts w:hint="eastAsia" w:ascii="宋体" w:hAnsi="宋体" w:cs="宋体"/>
                <w:color w:val="auto"/>
                <w:sz w:val="24"/>
                <w:szCs w:val="24"/>
                <w:highlight w:val="none"/>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14:paraId="27ABFC5A">
            <w:pPr>
              <w:autoSpaceDE w:val="0"/>
              <w:autoSpaceDN w:val="0"/>
              <w:adjustRightInd w:val="0"/>
              <w:spacing w:after="0" w:line="440" w:lineRule="exact"/>
              <w:ind w:right="-83" w:rightChars="-38"/>
              <w:jc w:val="center"/>
              <w:rPr>
                <w:rFonts w:hint="eastAsia" w:ascii="宋体" w:hAnsi="宋体" w:cs="宋体"/>
                <w:color w:val="auto"/>
                <w:sz w:val="24"/>
                <w:szCs w:val="24"/>
                <w:highlight w:val="none"/>
              </w:rPr>
            </w:pPr>
          </w:p>
        </w:tc>
      </w:tr>
    </w:tbl>
    <w:p w14:paraId="1B5A17E3">
      <w:pPr>
        <w:spacing w:after="0" w:line="440" w:lineRule="exact"/>
        <w:ind w:left="708" w:hanging="708" w:hangingChars="295"/>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说明</w:t>
      </w:r>
      <w:r>
        <w:rPr>
          <w:rFonts w:hint="eastAsia" w:ascii="宋体" w:hAnsi="宋体" w:cs="宋体"/>
          <w:color w:val="auto"/>
          <w:sz w:val="24"/>
          <w:szCs w:val="24"/>
          <w:highlight w:val="none"/>
          <w:lang w:val="zh-CN"/>
        </w:rPr>
        <w:t>：响应文件正本应附完整的相关证明文件清晰复印件加盖供应商公章，未按照要求详细完整填写此表，导致的后果由供应商自行承担。</w:t>
      </w:r>
    </w:p>
    <w:p w14:paraId="107D1C08">
      <w:pPr>
        <w:spacing w:after="0" w:line="440" w:lineRule="exact"/>
        <w:ind w:firstLine="3316" w:firstLineChars="1382"/>
        <w:rPr>
          <w:rFonts w:hint="eastAsia" w:ascii="宋体" w:hAnsi="宋体" w:cs="宋体"/>
          <w:bCs/>
          <w:color w:val="auto"/>
          <w:kern w:val="2"/>
          <w:sz w:val="24"/>
          <w:szCs w:val="24"/>
          <w:highlight w:val="none"/>
          <w:u w:val="single"/>
        </w:rPr>
      </w:pPr>
      <w:r>
        <w:rPr>
          <w:rFonts w:hint="eastAsia" w:ascii="宋体" w:hAnsi="宋体" w:cs="宋体"/>
          <w:bCs/>
          <w:color w:val="auto"/>
          <w:sz w:val="24"/>
          <w:szCs w:val="24"/>
          <w:highlight w:val="none"/>
        </w:rPr>
        <w:t>供应商名称（公章）：</w:t>
      </w:r>
      <w:r>
        <w:rPr>
          <w:rFonts w:hint="eastAsia" w:ascii="宋体" w:hAnsi="宋体" w:cs="宋体"/>
          <w:bCs/>
          <w:color w:val="auto"/>
          <w:sz w:val="24"/>
          <w:szCs w:val="24"/>
          <w:highlight w:val="none"/>
          <w:u w:val="single"/>
        </w:rPr>
        <w:t xml:space="preserve">                          </w:t>
      </w:r>
    </w:p>
    <w:p w14:paraId="1C9590A0">
      <w:pPr>
        <w:spacing w:after="0" w:line="440" w:lineRule="exact"/>
        <w:ind w:firstLine="3316" w:firstLineChars="1382"/>
        <w:rPr>
          <w:rFonts w:hint="eastAsia" w:ascii="宋体" w:hAnsi="宋体" w:cs="宋体"/>
          <w:color w:val="auto"/>
          <w:sz w:val="24"/>
          <w:szCs w:val="24"/>
          <w:highlight w:val="none"/>
        </w:rPr>
      </w:pPr>
      <w:r>
        <w:rPr>
          <w:rFonts w:hint="eastAsia" w:ascii="宋体" w:hAnsi="宋体" w:cs="宋体"/>
          <w:bCs/>
          <w:color w:val="auto"/>
          <w:sz w:val="24"/>
          <w:szCs w:val="24"/>
          <w:highlight w:val="none"/>
          <w:lang w:val="zh-CN"/>
        </w:rPr>
        <w:t>日期</w:t>
      </w:r>
      <w:r>
        <w:rPr>
          <w:rFonts w:hint="eastAsia" w:ascii="宋体" w:hAnsi="宋体" w:cs="宋体"/>
          <w:bCs/>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14:paraId="575F6119">
      <w:pPr>
        <w:numPr>
          <w:ilvl w:val="0"/>
          <w:numId w:val="61"/>
        </w:numPr>
        <w:tabs>
          <w:tab w:val="left" w:pos="426"/>
        </w:tabs>
        <w:spacing w:after="0" w:line="440" w:lineRule="exact"/>
        <w:ind w:left="0" w:firstLine="0"/>
        <w:contextualSpacing/>
        <w:jc w:val="both"/>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bookmarkStart w:id="183" w:name="_Toc238276251"/>
      <w:bookmarkStart w:id="184" w:name="_Toc494702283"/>
      <w:bookmarkStart w:id="185" w:name="_Toc494745330"/>
      <w:bookmarkStart w:id="186" w:name="_Toc494665013"/>
      <w:bookmarkStart w:id="187" w:name="_Toc494665963"/>
      <w:bookmarkStart w:id="188" w:name="_Toc236473307"/>
      <w:bookmarkStart w:id="189" w:name="_Toc494721113"/>
      <w:bookmarkStart w:id="190" w:name="_Toc494665566"/>
      <w:r>
        <w:rPr>
          <w:rFonts w:hint="eastAsia" w:ascii="宋体" w:hAnsi="宋体" w:cs="宋体"/>
          <w:color w:val="auto"/>
          <w:sz w:val="24"/>
          <w:szCs w:val="24"/>
          <w:highlight w:val="none"/>
        </w:rPr>
        <w:t>项目组人员一览表及证明材料</w:t>
      </w:r>
    </w:p>
    <w:bookmarkEnd w:id="183"/>
    <w:bookmarkEnd w:id="184"/>
    <w:bookmarkEnd w:id="185"/>
    <w:bookmarkEnd w:id="186"/>
    <w:bookmarkEnd w:id="187"/>
    <w:bookmarkEnd w:id="188"/>
    <w:bookmarkEnd w:id="189"/>
    <w:bookmarkEnd w:id="190"/>
    <w:p w14:paraId="7702093A">
      <w:pPr>
        <w:spacing w:line="44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项目组人员一览表及证明材料</w:t>
      </w:r>
    </w:p>
    <w:p w14:paraId="2D358F11">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供应商：</w:t>
      </w:r>
      <w:r>
        <w:rPr>
          <w:rFonts w:hint="eastAsia" w:ascii="宋体" w:hAnsi="宋体" w:cs="宋体"/>
          <w:color w:val="auto"/>
          <w:sz w:val="24"/>
          <w:szCs w:val="24"/>
          <w:highlight w:val="none"/>
          <w:u w:val="single"/>
          <w:lang w:val="zh-CN"/>
        </w:rPr>
        <w:t xml:space="preserve">                     </w:t>
      </w:r>
    </w:p>
    <w:p w14:paraId="61DA59E5">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项目编号：</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4"/>
          <w:szCs w:val="24"/>
          <w:highlight w:val="none"/>
          <w:lang w:val="zh-CN"/>
        </w:rPr>
        <w:t xml:space="preserve">     </w:t>
      </w:r>
      <w:r>
        <w:rPr>
          <w:rFonts w:hint="eastAsia" w:ascii="宋体" w:hAnsi="宋体" w:cs="宋体"/>
          <w:bCs/>
          <w:color w:val="auto"/>
          <w:sz w:val="24"/>
          <w:szCs w:val="24"/>
          <w:highlight w:val="none"/>
          <w:lang w:val="zh-CN"/>
        </w:rPr>
        <w:t xml:space="preserve">                项目名称：</w:t>
      </w:r>
      <w:r>
        <w:rPr>
          <w:rFonts w:hint="eastAsia" w:ascii="宋体" w:hAnsi="宋体" w:cs="宋体"/>
          <w:bCs/>
          <w:color w:val="auto"/>
          <w:sz w:val="24"/>
          <w:szCs w:val="24"/>
          <w:highlight w:val="none"/>
          <w:u w:val="single"/>
          <w:lang w:val="zh-CN"/>
        </w:rPr>
        <w:t xml:space="preserve">           </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14:paraId="783B5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vAlign w:val="center"/>
          </w:tcPr>
          <w:p w14:paraId="03028A59">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vAlign w:val="center"/>
          </w:tcPr>
          <w:p w14:paraId="2629B578">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vAlign w:val="center"/>
          </w:tcPr>
          <w:p w14:paraId="0A780A9B">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vAlign w:val="center"/>
          </w:tcPr>
          <w:p w14:paraId="0B85C2F0">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vAlign w:val="center"/>
          </w:tcPr>
          <w:p w14:paraId="7B442995">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从事本行业工作年限</w:t>
            </w:r>
          </w:p>
        </w:tc>
        <w:tc>
          <w:tcPr>
            <w:tcW w:w="1843" w:type="dxa"/>
            <w:tcBorders>
              <w:top w:val="single" w:color="auto" w:sz="4" w:space="0"/>
              <w:left w:val="single" w:color="auto" w:sz="4" w:space="0"/>
              <w:bottom w:val="single" w:color="auto" w:sz="4" w:space="0"/>
              <w:right w:val="single" w:color="auto" w:sz="4" w:space="0"/>
            </w:tcBorders>
            <w:shd w:val="clear" w:color="auto" w:fill="F1F1F1"/>
            <w:vAlign w:val="center"/>
          </w:tcPr>
          <w:p w14:paraId="73F4997E">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在本项目中承担的工作</w:t>
            </w:r>
          </w:p>
        </w:tc>
        <w:tc>
          <w:tcPr>
            <w:tcW w:w="1842" w:type="dxa"/>
            <w:tcBorders>
              <w:top w:val="single" w:color="auto" w:sz="4" w:space="0"/>
              <w:left w:val="single" w:color="auto" w:sz="4" w:space="0"/>
              <w:bottom w:val="single" w:color="auto" w:sz="4" w:space="0"/>
              <w:right w:val="single" w:color="auto" w:sz="4" w:space="0"/>
            </w:tcBorders>
            <w:shd w:val="clear" w:color="auto" w:fill="F1F1F1"/>
            <w:vAlign w:val="center"/>
          </w:tcPr>
          <w:p w14:paraId="64BB3974">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个人专业资质及证书</w:t>
            </w:r>
          </w:p>
        </w:tc>
      </w:tr>
      <w:tr w14:paraId="7EC3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14:paraId="4C76F2A6">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992" w:type="dxa"/>
            <w:tcBorders>
              <w:top w:val="single" w:color="auto" w:sz="4" w:space="0"/>
              <w:left w:val="single" w:color="auto" w:sz="4" w:space="0"/>
              <w:bottom w:val="single" w:color="auto" w:sz="4" w:space="0"/>
              <w:right w:val="single" w:color="auto" w:sz="4" w:space="0"/>
            </w:tcBorders>
            <w:vAlign w:val="center"/>
          </w:tcPr>
          <w:p w14:paraId="142BEB06">
            <w:pPr>
              <w:spacing w:line="440" w:lineRule="exact"/>
              <w:jc w:val="center"/>
              <w:rPr>
                <w:rFonts w:hint="eastAsia" w:ascii="宋体" w:hAnsi="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9FC2D0A">
            <w:pPr>
              <w:spacing w:line="440" w:lineRule="exact"/>
              <w:rPr>
                <w:rFonts w:hint="eastAsia" w:ascii="宋体" w:hAnsi="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6349EAE">
            <w:pPr>
              <w:spacing w:line="440" w:lineRule="exact"/>
              <w:rPr>
                <w:rFonts w:hint="eastAsia" w:ascii="宋体" w:hAnsi="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206F4D56">
            <w:pPr>
              <w:spacing w:line="440" w:lineRule="exact"/>
              <w:rPr>
                <w:rFonts w:hint="eastAsia" w:ascii="宋体" w:hAnsi="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3581ED02">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842" w:type="dxa"/>
            <w:tcBorders>
              <w:top w:val="single" w:color="auto" w:sz="4" w:space="0"/>
              <w:left w:val="single" w:color="auto" w:sz="4" w:space="0"/>
              <w:bottom w:val="single" w:color="auto" w:sz="4" w:space="0"/>
              <w:right w:val="single" w:color="auto" w:sz="4" w:space="0"/>
            </w:tcBorders>
            <w:vAlign w:val="center"/>
          </w:tcPr>
          <w:p w14:paraId="55B18B66">
            <w:pPr>
              <w:spacing w:line="440" w:lineRule="exact"/>
              <w:rPr>
                <w:rFonts w:hint="eastAsia" w:ascii="宋体" w:hAnsi="宋体" w:cs="宋体"/>
                <w:color w:val="auto"/>
                <w:sz w:val="24"/>
                <w:szCs w:val="24"/>
                <w:highlight w:val="none"/>
              </w:rPr>
            </w:pPr>
          </w:p>
        </w:tc>
      </w:tr>
      <w:tr w14:paraId="0C07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14:paraId="535DEFB5">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992" w:type="dxa"/>
            <w:tcBorders>
              <w:top w:val="single" w:color="auto" w:sz="4" w:space="0"/>
              <w:left w:val="single" w:color="auto" w:sz="4" w:space="0"/>
              <w:bottom w:val="single" w:color="auto" w:sz="4" w:space="0"/>
              <w:right w:val="single" w:color="auto" w:sz="4" w:space="0"/>
            </w:tcBorders>
            <w:vAlign w:val="center"/>
          </w:tcPr>
          <w:p w14:paraId="648A6272">
            <w:pPr>
              <w:spacing w:line="440" w:lineRule="exact"/>
              <w:jc w:val="center"/>
              <w:rPr>
                <w:rFonts w:hint="eastAsia" w:ascii="宋体" w:hAnsi="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F6814CD">
            <w:pPr>
              <w:spacing w:line="440" w:lineRule="exact"/>
              <w:jc w:val="center"/>
              <w:rPr>
                <w:rFonts w:hint="eastAsia" w:ascii="宋体" w:hAnsi="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BCB7456">
            <w:pPr>
              <w:spacing w:line="440" w:lineRule="exact"/>
              <w:jc w:val="center"/>
              <w:rPr>
                <w:rFonts w:hint="eastAsia" w:ascii="宋体" w:hAnsi="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63E624C">
            <w:pPr>
              <w:spacing w:line="440" w:lineRule="exact"/>
              <w:jc w:val="center"/>
              <w:rPr>
                <w:rFonts w:hint="eastAsia" w:ascii="宋体" w:hAnsi="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0B0ED90D">
            <w:pPr>
              <w:spacing w:line="440" w:lineRule="exact"/>
              <w:jc w:val="center"/>
              <w:rPr>
                <w:rFonts w:hint="eastAsia" w:ascii="宋体" w:hAnsi="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14:paraId="0916B443">
            <w:pPr>
              <w:spacing w:line="440" w:lineRule="exact"/>
              <w:jc w:val="center"/>
              <w:rPr>
                <w:rFonts w:hint="eastAsia" w:ascii="宋体" w:hAnsi="宋体" w:cs="宋体"/>
                <w:color w:val="auto"/>
                <w:sz w:val="24"/>
                <w:szCs w:val="24"/>
                <w:highlight w:val="none"/>
              </w:rPr>
            </w:pPr>
          </w:p>
        </w:tc>
      </w:tr>
      <w:tr w14:paraId="2933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14:paraId="3A9BD91A">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992" w:type="dxa"/>
            <w:tcBorders>
              <w:top w:val="single" w:color="auto" w:sz="4" w:space="0"/>
              <w:left w:val="single" w:color="auto" w:sz="4" w:space="0"/>
              <w:bottom w:val="single" w:color="auto" w:sz="4" w:space="0"/>
              <w:right w:val="single" w:color="auto" w:sz="4" w:space="0"/>
            </w:tcBorders>
            <w:vAlign w:val="center"/>
          </w:tcPr>
          <w:p w14:paraId="48848255">
            <w:pPr>
              <w:spacing w:line="440" w:lineRule="exact"/>
              <w:jc w:val="center"/>
              <w:rPr>
                <w:rFonts w:hint="eastAsia" w:ascii="宋体" w:hAnsi="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E24AC00">
            <w:pPr>
              <w:spacing w:line="440" w:lineRule="exact"/>
              <w:jc w:val="center"/>
              <w:rPr>
                <w:rFonts w:hint="eastAsia" w:ascii="宋体" w:hAnsi="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E55A98E">
            <w:pPr>
              <w:spacing w:line="440" w:lineRule="exact"/>
              <w:jc w:val="center"/>
              <w:rPr>
                <w:rFonts w:hint="eastAsia" w:ascii="宋体" w:hAnsi="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F1AB546">
            <w:pPr>
              <w:spacing w:line="440" w:lineRule="exact"/>
              <w:jc w:val="center"/>
              <w:rPr>
                <w:rFonts w:hint="eastAsia" w:ascii="宋体" w:hAnsi="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4B8B05DF">
            <w:pPr>
              <w:spacing w:line="440" w:lineRule="exact"/>
              <w:jc w:val="center"/>
              <w:rPr>
                <w:rFonts w:hint="eastAsia" w:ascii="宋体" w:hAnsi="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14:paraId="3F6B49E6">
            <w:pPr>
              <w:spacing w:line="440" w:lineRule="exact"/>
              <w:jc w:val="center"/>
              <w:rPr>
                <w:rFonts w:hint="eastAsia" w:ascii="宋体" w:hAnsi="宋体" w:cs="宋体"/>
                <w:color w:val="auto"/>
                <w:sz w:val="24"/>
                <w:szCs w:val="24"/>
                <w:highlight w:val="none"/>
              </w:rPr>
            </w:pPr>
          </w:p>
        </w:tc>
      </w:tr>
      <w:tr w14:paraId="4195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14:paraId="4269EC8C">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992" w:type="dxa"/>
            <w:tcBorders>
              <w:top w:val="single" w:color="auto" w:sz="4" w:space="0"/>
              <w:left w:val="single" w:color="auto" w:sz="4" w:space="0"/>
              <w:bottom w:val="single" w:color="auto" w:sz="4" w:space="0"/>
              <w:right w:val="single" w:color="auto" w:sz="4" w:space="0"/>
            </w:tcBorders>
            <w:vAlign w:val="center"/>
          </w:tcPr>
          <w:p w14:paraId="2D586D0A">
            <w:pPr>
              <w:spacing w:line="440" w:lineRule="exact"/>
              <w:jc w:val="center"/>
              <w:rPr>
                <w:rFonts w:hint="eastAsia" w:ascii="宋体" w:hAnsi="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7940BDE">
            <w:pPr>
              <w:spacing w:line="440" w:lineRule="exact"/>
              <w:jc w:val="center"/>
              <w:rPr>
                <w:rFonts w:hint="eastAsia" w:ascii="宋体" w:hAnsi="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8176C80">
            <w:pPr>
              <w:spacing w:line="440" w:lineRule="exact"/>
              <w:jc w:val="center"/>
              <w:rPr>
                <w:rFonts w:hint="eastAsia" w:ascii="宋体" w:hAnsi="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1CA72F36">
            <w:pPr>
              <w:spacing w:line="440" w:lineRule="exact"/>
              <w:jc w:val="center"/>
              <w:rPr>
                <w:rFonts w:hint="eastAsia" w:ascii="宋体" w:hAnsi="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08AD9072">
            <w:pPr>
              <w:spacing w:line="440" w:lineRule="exact"/>
              <w:jc w:val="center"/>
              <w:rPr>
                <w:rFonts w:hint="eastAsia" w:ascii="宋体" w:hAnsi="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14:paraId="482256BB">
            <w:pPr>
              <w:spacing w:line="440" w:lineRule="exact"/>
              <w:jc w:val="center"/>
              <w:rPr>
                <w:rFonts w:hint="eastAsia" w:ascii="宋体" w:hAnsi="宋体" w:cs="宋体"/>
                <w:color w:val="auto"/>
                <w:sz w:val="24"/>
                <w:szCs w:val="24"/>
                <w:highlight w:val="none"/>
              </w:rPr>
            </w:pPr>
          </w:p>
        </w:tc>
      </w:tr>
      <w:tr w14:paraId="42CE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14:paraId="79F2CB41">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992" w:type="dxa"/>
            <w:tcBorders>
              <w:top w:val="single" w:color="auto" w:sz="4" w:space="0"/>
              <w:left w:val="single" w:color="auto" w:sz="4" w:space="0"/>
              <w:bottom w:val="single" w:color="auto" w:sz="4" w:space="0"/>
              <w:right w:val="single" w:color="auto" w:sz="4" w:space="0"/>
            </w:tcBorders>
            <w:vAlign w:val="center"/>
          </w:tcPr>
          <w:p w14:paraId="46B4BC95">
            <w:pPr>
              <w:spacing w:line="440" w:lineRule="exact"/>
              <w:jc w:val="center"/>
              <w:rPr>
                <w:rFonts w:hint="eastAsia" w:ascii="宋体" w:hAnsi="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6C2AA2E">
            <w:pPr>
              <w:spacing w:line="440" w:lineRule="exact"/>
              <w:jc w:val="center"/>
              <w:rPr>
                <w:rFonts w:hint="eastAsia" w:ascii="宋体" w:hAnsi="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0BE6B87">
            <w:pPr>
              <w:spacing w:line="440" w:lineRule="exact"/>
              <w:jc w:val="center"/>
              <w:rPr>
                <w:rFonts w:hint="eastAsia" w:ascii="宋体" w:hAnsi="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3D035A97">
            <w:pPr>
              <w:spacing w:line="440" w:lineRule="exact"/>
              <w:jc w:val="center"/>
              <w:rPr>
                <w:rFonts w:hint="eastAsia" w:ascii="宋体" w:hAnsi="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410C67DF">
            <w:pPr>
              <w:spacing w:line="440" w:lineRule="exact"/>
              <w:jc w:val="center"/>
              <w:rPr>
                <w:rFonts w:hint="eastAsia" w:ascii="宋体" w:hAnsi="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14:paraId="15E6A60A">
            <w:pPr>
              <w:spacing w:line="440" w:lineRule="exact"/>
              <w:jc w:val="center"/>
              <w:rPr>
                <w:rFonts w:hint="eastAsia" w:ascii="宋体" w:hAnsi="宋体" w:cs="宋体"/>
                <w:color w:val="auto"/>
                <w:sz w:val="24"/>
                <w:szCs w:val="24"/>
                <w:highlight w:val="none"/>
              </w:rPr>
            </w:pPr>
          </w:p>
        </w:tc>
      </w:tr>
      <w:tr w14:paraId="0B2C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14:paraId="438BC37A">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992" w:type="dxa"/>
            <w:tcBorders>
              <w:top w:val="single" w:color="auto" w:sz="4" w:space="0"/>
              <w:left w:val="single" w:color="auto" w:sz="4" w:space="0"/>
              <w:bottom w:val="single" w:color="auto" w:sz="4" w:space="0"/>
              <w:right w:val="single" w:color="auto" w:sz="4" w:space="0"/>
            </w:tcBorders>
            <w:vAlign w:val="center"/>
          </w:tcPr>
          <w:p w14:paraId="41FCE535">
            <w:pPr>
              <w:spacing w:line="440" w:lineRule="exact"/>
              <w:jc w:val="center"/>
              <w:rPr>
                <w:rFonts w:hint="eastAsia" w:ascii="宋体" w:hAnsi="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36DE5A9">
            <w:pPr>
              <w:spacing w:line="440" w:lineRule="exact"/>
              <w:jc w:val="center"/>
              <w:rPr>
                <w:rFonts w:hint="eastAsia" w:ascii="宋体" w:hAnsi="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657EEDD">
            <w:pPr>
              <w:spacing w:line="440" w:lineRule="exact"/>
              <w:jc w:val="center"/>
              <w:rPr>
                <w:rFonts w:hint="eastAsia" w:ascii="宋体" w:hAnsi="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21995059">
            <w:pPr>
              <w:spacing w:line="440" w:lineRule="exact"/>
              <w:jc w:val="center"/>
              <w:rPr>
                <w:rFonts w:hint="eastAsia" w:ascii="宋体" w:hAnsi="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2424326F">
            <w:pPr>
              <w:spacing w:line="440" w:lineRule="exact"/>
              <w:jc w:val="center"/>
              <w:rPr>
                <w:rFonts w:hint="eastAsia" w:ascii="宋体" w:hAnsi="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14:paraId="572B4383">
            <w:pPr>
              <w:spacing w:line="440" w:lineRule="exact"/>
              <w:jc w:val="center"/>
              <w:rPr>
                <w:rFonts w:hint="eastAsia" w:ascii="宋体" w:hAnsi="宋体" w:cs="宋体"/>
                <w:color w:val="auto"/>
                <w:sz w:val="24"/>
                <w:szCs w:val="24"/>
                <w:highlight w:val="none"/>
              </w:rPr>
            </w:pPr>
          </w:p>
        </w:tc>
      </w:tr>
      <w:tr w14:paraId="2B69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14:paraId="5D5F1576">
            <w:pPr>
              <w:spacing w:line="44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w:t>
            </w:r>
          </w:p>
        </w:tc>
        <w:tc>
          <w:tcPr>
            <w:tcW w:w="992" w:type="dxa"/>
            <w:tcBorders>
              <w:top w:val="single" w:color="auto" w:sz="4" w:space="0"/>
              <w:left w:val="single" w:color="auto" w:sz="4" w:space="0"/>
              <w:bottom w:val="single" w:color="auto" w:sz="4" w:space="0"/>
              <w:right w:val="single" w:color="auto" w:sz="4" w:space="0"/>
            </w:tcBorders>
            <w:vAlign w:val="center"/>
          </w:tcPr>
          <w:p w14:paraId="51763061">
            <w:pPr>
              <w:spacing w:line="440" w:lineRule="exact"/>
              <w:jc w:val="center"/>
              <w:rPr>
                <w:rFonts w:hint="eastAsia" w:ascii="宋体" w:hAnsi="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649186D">
            <w:pPr>
              <w:spacing w:line="440" w:lineRule="exact"/>
              <w:jc w:val="center"/>
              <w:rPr>
                <w:rFonts w:hint="eastAsia" w:ascii="宋体" w:hAnsi="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EAEEA09">
            <w:pPr>
              <w:spacing w:line="440" w:lineRule="exact"/>
              <w:jc w:val="center"/>
              <w:rPr>
                <w:rFonts w:hint="eastAsia" w:ascii="宋体" w:hAnsi="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2165269">
            <w:pPr>
              <w:spacing w:line="440" w:lineRule="exact"/>
              <w:jc w:val="center"/>
              <w:rPr>
                <w:rFonts w:hint="eastAsia" w:ascii="宋体" w:hAnsi="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1E7CF77D">
            <w:pPr>
              <w:spacing w:line="440" w:lineRule="exact"/>
              <w:jc w:val="center"/>
              <w:rPr>
                <w:rFonts w:hint="eastAsia" w:ascii="宋体" w:hAnsi="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14:paraId="2AD6D7AD">
            <w:pPr>
              <w:spacing w:line="440" w:lineRule="exact"/>
              <w:jc w:val="center"/>
              <w:rPr>
                <w:rFonts w:hint="eastAsia" w:ascii="宋体" w:hAnsi="宋体" w:cs="宋体"/>
                <w:color w:val="auto"/>
                <w:sz w:val="24"/>
                <w:szCs w:val="24"/>
                <w:highlight w:val="none"/>
              </w:rPr>
            </w:pPr>
          </w:p>
        </w:tc>
      </w:tr>
    </w:tbl>
    <w:p w14:paraId="08D7C93A">
      <w:pPr>
        <w:spacing w:line="440" w:lineRule="exact"/>
        <w:ind w:left="720" w:hanging="720" w:hangingChars="3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说明：响应文件正本应附完整的相关证明文件清晰复印件并加盖供应商公章，未按照要求详细完整填写此表，导致的后果由供应商自行承担。</w:t>
      </w:r>
    </w:p>
    <w:p w14:paraId="0CB0E690">
      <w:pPr>
        <w:spacing w:line="440" w:lineRule="exact"/>
        <w:rPr>
          <w:rFonts w:hint="eastAsia" w:ascii="宋体" w:hAnsi="宋体" w:cs="宋体"/>
          <w:color w:val="auto"/>
          <w:kern w:val="2"/>
          <w:sz w:val="24"/>
          <w:szCs w:val="24"/>
          <w:highlight w:val="none"/>
          <w:lang w:val="zh-CN"/>
        </w:rPr>
      </w:pPr>
    </w:p>
    <w:p w14:paraId="5FBBF433">
      <w:pPr>
        <w:spacing w:line="440" w:lineRule="exact"/>
        <w:rPr>
          <w:rFonts w:hint="eastAsia" w:ascii="宋体" w:hAnsi="宋体" w:cs="宋体"/>
          <w:color w:val="auto"/>
          <w:sz w:val="24"/>
          <w:szCs w:val="24"/>
          <w:highlight w:val="none"/>
          <w:lang w:val="zh-CN"/>
        </w:rPr>
      </w:pPr>
    </w:p>
    <w:p w14:paraId="5708E837">
      <w:pPr>
        <w:spacing w:line="440" w:lineRule="exact"/>
        <w:rPr>
          <w:rFonts w:hint="eastAsia" w:ascii="宋体" w:hAnsi="宋体" w:cs="宋体"/>
          <w:color w:val="auto"/>
          <w:sz w:val="24"/>
          <w:szCs w:val="24"/>
          <w:highlight w:val="none"/>
          <w:lang w:val="zh-CN"/>
        </w:rPr>
      </w:pPr>
    </w:p>
    <w:p w14:paraId="4CD6D5A9">
      <w:pPr>
        <w:spacing w:before="100" w:beforeAutospacing="1" w:after="100" w:afterAutospacing="1" w:line="440" w:lineRule="exact"/>
        <w:ind w:firstLine="3316" w:firstLineChars="1382"/>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供应商名称（公章）：</w:t>
      </w:r>
      <w:r>
        <w:rPr>
          <w:rFonts w:hint="eastAsia" w:ascii="宋体" w:hAnsi="宋体" w:cs="宋体"/>
          <w:bCs/>
          <w:color w:val="auto"/>
          <w:sz w:val="24"/>
          <w:szCs w:val="24"/>
          <w:highlight w:val="none"/>
          <w:u w:val="single"/>
        </w:rPr>
        <w:t xml:space="preserve">                          </w:t>
      </w:r>
    </w:p>
    <w:p w14:paraId="7C7A5891">
      <w:pPr>
        <w:spacing w:before="100" w:beforeAutospacing="1" w:after="100" w:afterAutospacing="1" w:line="440" w:lineRule="exact"/>
        <w:ind w:firstLine="3316" w:firstLineChars="1382"/>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lang w:val="zh-CN"/>
        </w:rPr>
        <w:t>日期</w:t>
      </w:r>
      <w:r>
        <w:rPr>
          <w:rFonts w:hint="eastAsia" w:ascii="宋体" w:hAnsi="宋体" w:cs="宋体"/>
          <w:bCs/>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14:paraId="1439121E">
      <w:pPr>
        <w:numPr>
          <w:ilvl w:val="0"/>
          <w:numId w:val="61"/>
        </w:numPr>
        <w:tabs>
          <w:tab w:val="left" w:pos="426"/>
        </w:tabs>
        <w:spacing w:after="0" w:line="440" w:lineRule="exact"/>
        <w:ind w:left="0" w:firstLine="0"/>
        <w:contextualSpacing/>
        <w:jc w:val="both"/>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类似项目业绩表及证明材料</w:t>
      </w:r>
    </w:p>
    <w:p w14:paraId="05B04B16">
      <w:pPr>
        <w:spacing w:line="44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类似项目业绩表</w:t>
      </w:r>
    </w:p>
    <w:p w14:paraId="1E5FB2A8">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供应商：</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4"/>
          <w:szCs w:val="24"/>
          <w:highlight w:val="none"/>
          <w:lang w:val="zh-CN"/>
        </w:rPr>
        <w:t xml:space="preserve"> </w:t>
      </w:r>
    </w:p>
    <w:p w14:paraId="1F210D61">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项目编号：</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4"/>
          <w:szCs w:val="24"/>
          <w:highlight w:val="none"/>
          <w:lang w:val="zh-CN"/>
        </w:rPr>
        <w:t xml:space="preserve">     </w:t>
      </w:r>
      <w:r>
        <w:rPr>
          <w:rFonts w:hint="eastAsia" w:ascii="宋体" w:hAnsi="宋体" w:cs="宋体"/>
          <w:bCs/>
          <w:color w:val="auto"/>
          <w:sz w:val="24"/>
          <w:szCs w:val="24"/>
          <w:highlight w:val="none"/>
          <w:lang w:val="zh-CN"/>
        </w:rPr>
        <w:t xml:space="preserve">                项目名称：</w:t>
      </w:r>
      <w:r>
        <w:rPr>
          <w:rFonts w:hint="eastAsia" w:ascii="宋体" w:hAnsi="宋体" w:cs="宋体"/>
          <w:bCs/>
          <w:color w:val="auto"/>
          <w:sz w:val="24"/>
          <w:szCs w:val="24"/>
          <w:highlight w:val="none"/>
          <w:u w:val="single"/>
          <w:lang w:val="zh-CN"/>
        </w:rPr>
        <w:t xml:space="preserve">           </w:t>
      </w:r>
    </w:p>
    <w:tbl>
      <w:tblPr>
        <w:tblStyle w:val="3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7"/>
        <w:gridCol w:w="1138"/>
        <w:gridCol w:w="1276"/>
        <w:gridCol w:w="1550"/>
        <w:gridCol w:w="1001"/>
        <w:gridCol w:w="1276"/>
        <w:gridCol w:w="996"/>
        <w:gridCol w:w="1276"/>
        <w:gridCol w:w="838"/>
      </w:tblGrid>
      <w:tr w14:paraId="69EA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exact"/>
          <w:jc w:val="center"/>
        </w:trPr>
        <w:tc>
          <w:tcPr>
            <w:tcW w:w="567" w:type="dxa"/>
            <w:tcBorders>
              <w:top w:val="single" w:color="auto" w:sz="4" w:space="0"/>
              <w:left w:val="single" w:color="auto" w:sz="4" w:space="0"/>
              <w:bottom w:val="single" w:color="auto" w:sz="4" w:space="0"/>
              <w:right w:val="single" w:color="auto" w:sz="4" w:space="0"/>
            </w:tcBorders>
            <w:vAlign w:val="center"/>
          </w:tcPr>
          <w:p w14:paraId="00699B13">
            <w:pPr>
              <w:widowControl w:val="0"/>
              <w:autoSpaceDE w:val="0"/>
              <w:autoSpaceDN w:val="0"/>
              <w:spacing w:after="0" w:line="440" w:lineRule="exact"/>
              <w:jc w:val="center"/>
              <w:rPr>
                <w:rFonts w:hint="eastAsia"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序号</w:t>
            </w:r>
          </w:p>
        </w:tc>
        <w:tc>
          <w:tcPr>
            <w:tcW w:w="1138" w:type="dxa"/>
            <w:tcBorders>
              <w:top w:val="single" w:color="auto" w:sz="4" w:space="0"/>
              <w:left w:val="single" w:color="auto" w:sz="4" w:space="0"/>
              <w:bottom w:val="single" w:color="auto" w:sz="4" w:space="0"/>
              <w:right w:val="single" w:color="auto" w:sz="4" w:space="0"/>
            </w:tcBorders>
            <w:vAlign w:val="center"/>
          </w:tcPr>
          <w:p w14:paraId="1DE05F88">
            <w:pPr>
              <w:widowControl w:val="0"/>
              <w:autoSpaceDE w:val="0"/>
              <w:autoSpaceDN w:val="0"/>
              <w:spacing w:after="0" w:line="440" w:lineRule="exact"/>
              <w:jc w:val="center"/>
              <w:rPr>
                <w:rFonts w:hint="eastAsia"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业主单位</w:t>
            </w:r>
          </w:p>
        </w:tc>
        <w:tc>
          <w:tcPr>
            <w:tcW w:w="1276" w:type="dxa"/>
            <w:tcBorders>
              <w:top w:val="single" w:color="auto" w:sz="4" w:space="0"/>
              <w:left w:val="single" w:color="auto" w:sz="4" w:space="0"/>
              <w:bottom w:val="single" w:color="auto" w:sz="4" w:space="0"/>
              <w:right w:val="single" w:color="auto" w:sz="4" w:space="0"/>
            </w:tcBorders>
            <w:vAlign w:val="center"/>
          </w:tcPr>
          <w:p w14:paraId="148AE3CD">
            <w:pPr>
              <w:widowControl w:val="0"/>
              <w:spacing w:after="0" w:line="440" w:lineRule="exact"/>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业主单位</w:t>
            </w:r>
          </w:p>
          <w:p w14:paraId="58EEF186">
            <w:pPr>
              <w:widowControl w:val="0"/>
              <w:autoSpaceDE w:val="0"/>
              <w:autoSpaceDN w:val="0"/>
              <w:spacing w:after="0" w:line="440" w:lineRule="exact"/>
              <w:jc w:val="center"/>
              <w:rPr>
                <w:rFonts w:hint="eastAsia" w:ascii="宋体" w:hAnsi="宋体" w:cs="宋体"/>
                <w:color w:val="auto"/>
                <w:kern w:val="2"/>
                <w:sz w:val="24"/>
                <w:szCs w:val="24"/>
                <w:highlight w:val="none"/>
                <w:lang w:val="zh-CN"/>
              </w:rPr>
            </w:pPr>
            <w:r>
              <w:rPr>
                <w:rFonts w:hint="eastAsia" w:ascii="宋体" w:hAnsi="宋体" w:cs="宋体"/>
                <w:color w:val="auto"/>
                <w:kern w:val="2"/>
                <w:sz w:val="24"/>
                <w:szCs w:val="24"/>
                <w:highlight w:val="none"/>
              </w:rPr>
              <w:t>联系人、电话</w:t>
            </w:r>
          </w:p>
        </w:tc>
        <w:tc>
          <w:tcPr>
            <w:tcW w:w="1550" w:type="dxa"/>
            <w:tcBorders>
              <w:top w:val="single" w:color="auto" w:sz="4" w:space="0"/>
              <w:left w:val="single" w:color="auto" w:sz="4" w:space="0"/>
              <w:bottom w:val="single" w:color="auto" w:sz="4" w:space="0"/>
              <w:right w:val="single" w:color="auto" w:sz="4" w:space="0"/>
            </w:tcBorders>
            <w:vAlign w:val="center"/>
          </w:tcPr>
          <w:p w14:paraId="147E1CD7">
            <w:pPr>
              <w:widowControl w:val="0"/>
              <w:spacing w:after="0" w:line="440" w:lineRule="exact"/>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lang w:val="zh-CN"/>
              </w:rPr>
              <w:t>项目名称</w:t>
            </w:r>
          </w:p>
        </w:tc>
        <w:tc>
          <w:tcPr>
            <w:tcW w:w="1001" w:type="dxa"/>
            <w:tcBorders>
              <w:top w:val="single" w:color="auto" w:sz="4" w:space="0"/>
              <w:left w:val="single" w:color="auto" w:sz="4" w:space="0"/>
              <w:bottom w:val="single" w:color="auto" w:sz="4" w:space="0"/>
              <w:right w:val="single" w:color="auto" w:sz="4" w:space="0"/>
            </w:tcBorders>
            <w:vAlign w:val="center"/>
          </w:tcPr>
          <w:p w14:paraId="1AEEF50D">
            <w:pPr>
              <w:widowControl w:val="0"/>
              <w:spacing w:after="0" w:line="440" w:lineRule="exact"/>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项目经理</w:t>
            </w:r>
          </w:p>
        </w:tc>
        <w:tc>
          <w:tcPr>
            <w:tcW w:w="1276" w:type="dxa"/>
            <w:tcBorders>
              <w:top w:val="single" w:color="auto" w:sz="4" w:space="0"/>
              <w:left w:val="single" w:color="auto" w:sz="4" w:space="0"/>
              <w:bottom w:val="single" w:color="auto" w:sz="4" w:space="0"/>
              <w:right w:val="single" w:color="auto" w:sz="4" w:space="0"/>
            </w:tcBorders>
            <w:vAlign w:val="center"/>
          </w:tcPr>
          <w:p w14:paraId="28C4A1BA">
            <w:pPr>
              <w:widowControl w:val="0"/>
              <w:spacing w:after="0" w:line="440" w:lineRule="exact"/>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项目内容</w:t>
            </w:r>
          </w:p>
        </w:tc>
        <w:tc>
          <w:tcPr>
            <w:tcW w:w="996" w:type="dxa"/>
            <w:tcBorders>
              <w:top w:val="single" w:color="auto" w:sz="4" w:space="0"/>
              <w:left w:val="single" w:color="auto" w:sz="4" w:space="0"/>
              <w:bottom w:val="single" w:color="auto" w:sz="4" w:space="0"/>
              <w:right w:val="single" w:color="auto" w:sz="4" w:space="0"/>
            </w:tcBorders>
            <w:vAlign w:val="center"/>
          </w:tcPr>
          <w:p w14:paraId="63210F56">
            <w:pPr>
              <w:widowControl w:val="0"/>
              <w:spacing w:after="0" w:line="440" w:lineRule="exact"/>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合同金额</w:t>
            </w:r>
          </w:p>
        </w:tc>
        <w:tc>
          <w:tcPr>
            <w:tcW w:w="1276" w:type="dxa"/>
            <w:tcBorders>
              <w:top w:val="single" w:color="auto" w:sz="4" w:space="0"/>
              <w:left w:val="single" w:color="auto" w:sz="4" w:space="0"/>
              <w:bottom w:val="single" w:color="auto" w:sz="4" w:space="0"/>
              <w:right w:val="single" w:color="auto" w:sz="4" w:space="0"/>
            </w:tcBorders>
            <w:vAlign w:val="center"/>
          </w:tcPr>
          <w:p w14:paraId="4F4D8B92">
            <w:pPr>
              <w:widowControl w:val="0"/>
              <w:spacing w:after="0" w:line="440" w:lineRule="exact"/>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合同签订日期</w:t>
            </w:r>
          </w:p>
        </w:tc>
        <w:tc>
          <w:tcPr>
            <w:tcW w:w="838" w:type="dxa"/>
            <w:tcBorders>
              <w:top w:val="single" w:color="auto" w:sz="4" w:space="0"/>
              <w:left w:val="single" w:color="auto" w:sz="4" w:space="0"/>
              <w:bottom w:val="single" w:color="auto" w:sz="4" w:space="0"/>
              <w:right w:val="single" w:color="auto" w:sz="4" w:space="0"/>
            </w:tcBorders>
            <w:vAlign w:val="center"/>
          </w:tcPr>
          <w:p w14:paraId="073FCDAB">
            <w:pPr>
              <w:widowControl w:val="0"/>
              <w:spacing w:after="0" w:line="440" w:lineRule="exact"/>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备注</w:t>
            </w:r>
          </w:p>
        </w:tc>
      </w:tr>
      <w:tr w14:paraId="6DA3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exact"/>
          <w:jc w:val="center"/>
        </w:trPr>
        <w:tc>
          <w:tcPr>
            <w:tcW w:w="567" w:type="dxa"/>
            <w:tcBorders>
              <w:top w:val="single" w:color="auto" w:sz="4" w:space="0"/>
              <w:left w:val="single" w:color="auto" w:sz="4" w:space="0"/>
              <w:bottom w:val="single" w:color="auto" w:sz="4" w:space="0"/>
              <w:right w:val="single" w:color="auto" w:sz="4" w:space="0"/>
            </w:tcBorders>
            <w:vAlign w:val="center"/>
          </w:tcPr>
          <w:p w14:paraId="11F5ED5B">
            <w:pPr>
              <w:widowControl w:val="0"/>
              <w:autoSpaceDE w:val="0"/>
              <w:autoSpaceDN w:val="0"/>
              <w:spacing w:after="0" w:line="440" w:lineRule="exact"/>
              <w:jc w:val="center"/>
              <w:rPr>
                <w:rFonts w:hint="eastAsia"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1</w:t>
            </w:r>
          </w:p>
        </w:tc>
        <w:tc>
          <w:tcPr>
            <w:tcW w:w="1138" w:type="dxa"/>
            <w:tcBorders>
              <w:top w:val="single" w:color="auto" w:sz="4" w:space="0"/>
              <w:left w:val="single" w:color="auto" w:sz="4" w:space="0"/>
              <w:bottom w:val="single" w:color="auto" w:sz="4" w:space="0"/>
              <w:right w:val="single" w:color="auto" w:sz="4" w:space="0"/>
            </w:tcBorders>
            <w:vAlign w:val="center"/>
          </w:tcPr>
          <w:p w14:paraId="3C363C76">
            <w:pPr>
              <w:widowControl w:val="0"/>
              <w:autoSpaceDE w:val="0"/>
              <w:autoSpaceDN w:val="0"/>
              <w:spacing w:after="0" w:line="440" w:lineRule="exact"/>
              <w:jc w:val="center"/>
              <w:rPr>
                <w:rFonts w:hint="eastAsia" w:ascii="宋体" w:hAnsi="宋体" w:cs="宋体"/>
                <w:color w:val="auto"/>
                <w:kern w:val="2"/>
                <w:sz w:val="24"/>
                <w:szCs w:val="24"/>
                <w:highlight w:val="none"/>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14:paraId="4C0A1885">
            <w:pPr>
              <w:widowControl w:val="0"/>
              <w:autoSpaceDE w:val="0"/>
              <w:autoSpaceDN w:val="0"/>
              <w:spacing w:after="0" w:line="440" w:lineRule="exact"/>
              <w:jc w:val="center"/>
              <w:rPr>
                <w:rFonts w:hint="eastAsia" w:ascii="宋体" w:hAnsi="宋体" w:cs="宋体"/>
                <w:color w:val="auto"/>
                <w:kern w:val="2"/>
                <w:sz w:val="24"/>
                <w:szCs w:val="24"/>
                <w:highlight w:val="none"/>
                <w:lang w:val="zh-CN"/>
              </w:rPr>
            </w:pPr>
          </w:p>
        </w:tc>
        <w:tc>
          <w:tcPr>
            <w:tcW w:w="1550" w:type="dxa"/>
            <w:tcBorders>
              <w:top w:val="single" w:color="auto" w:sz="4" w:space="0"/>
              <w:left w:val="single" w:color="auto" w:sz="4" w:space="0"/>
              <w:bottom w:val="single" w:color="auto" w:sz="4" w:space="0"/>
              <w:right w:val="single" w:color="auto" w:sz="4" w:space="0"/>
            </w:tcBorders>
            <w:vAlign w:val="center"/>
          </w:tcPr>
          <w:p w14:paraId="17DCDE32">
            <w:pPr>
              <w:widowControl w:val="0"/>
              <w:autoSpaceDE w:val="0"/>
              <w:autoSpaceDN w:val="0"/>
              <w:spacing w:after="0" w:line="440" w:lineRule="exact"/>
              <w:jc w:val="center"/>
              <w:rPr>
                <w:rFonts w:hint="eastAsia" w:ascii="宋体" w:hAnsi="宋体" w:cs="宋体"/>
                <w:color w:val="auto"/>
                <w:kern w:val="2"/>
                <w:sz w:val="24"/>
                <w:szCs w:val="24"/>
                <w:highlight w:val="none"/>
                <w:lang w:val="zh-CN"/>
              </w:rPr>
            </w:pPr>
          </w:p>
        </w:tc>
        <w:tc>
          <w:tcPr>
            <w:tcW w:w="1001" w:type="dxa"/>
            <w:tcBorders>
              <w:top w:val="single" w:color="auto" w:sz="4" w:space="0"/>
              <w:left w:val="single" w:color="auto" w:sz="4" w:space="0"/>
              <w:bottom w:val="single" w:color="auto" w:sz="4" w:space="0"/>
              <w:right w:val="single" w:color="auto" w:sz="4" w:space="0"/>
            </w:tcBorders>
            <w:vAlign w:val="center"/>
          </w:tcPr>
          <w:p w14:paraId="1B1ADD05">
            <w:pPr>
              <w:widowControl w:val="0"/>
              <w:spacing w:after="0" w:line="440" w:lineRule="exact"/>
              <w:jc w:val="center"/>
              <w:rPr>
                <w:rFonts w:hint="eastAsia" w:ascii="宋体" w:hAnsi="宋体" w:cs="宋体"/>
                <w:color w:val="auto"/>
                <w:sz w:val="24"/>
                <w:szCs w:val="24"/>
                <w:highlight w:val="none"/>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14:paraId="7AC27722">
            <w:pPr>
              <w:widowControl w:val="0"/>
              <w:spacing w:after="0" w:line="440" w:lineRule="exact"/>
              <w:jc w:val="center"/>
              <w:rPr>
                <w:rFonts w:hint="eastAsia" w:ascii="宋体" w:hAnsi="宋体" w:cs="宋体"/>
                <w:color w:val="auto"/>
                <w:sz w:val="24"/>
                <w:szCs w:val="24"/>
                <w:highlight w:val="none"/>
                <w:lang w:val="zh-CN"/>
              </w:rPr>
            </w:pPr>
          </w:p>
        </w:tc>
        <w:tc>
          <w:tcPr>
            <w:tcW w:w="996" w:type="dxa"/>
            <w:tcBorders>
              <w:top w:val="single" w:color="auto" w:sz="4" w:space="0"/>
              <w:left w:val="single" w:color="auto" w:sz="4" w:space="0"/>
              <w:bottom w:val="single" w:color="auto" w:sz="4" w:space="0"/>
              <w:right w:val="single" w:color="auto" w:sz="4" w:space="0"/>
            </w:tcBorders>
            <w:vAlign w:val="center"/>
          </w:tcPr>
          <w:p w14:paraId="59080601">
            <w:pPr>
              <w:widowControl w:val="0"/>
              <w:spacing w:after="0" w:line="440" w:lineRule="exact"/>
              <w:jc w:val="center"/>
              <w:rPr>
                <w:rFonts w:hint="eastAsia" w:ascii="宋体" w:hAnsi="宋体" w:cs="宋体"/>
                <w:color w:val="auto"/>
                <w:sz w:val="24"/>
                <w:szCs w:val="24"/>
                <w:highlight w:val="none"/>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14:paraId="3FA61C7C">
            <w:pPr>
              <w:widowControl w:val="0"/>
              <w:spacing w:after="0" w:line="440" w:lineRule="exact"/>
              <w:jc w:val="center"/>
              <w:rPr>
                <w:rFonts w:hint="eastAsia" w:ascii="宋体" w:hAnsi="宋体" w:cs="宋体"/>
                <w:color w:val="auto"/>
                <w:sz w:val="24"/>
                <w:szCs w:val="24"/>
                <w:highlight w:val="none"/>
                <w:lang w:val="zh-CN"/>
              </w:rPr>
            </w:pPr>
          </w:p>
        </w:tc>
        <w:tc>
          <w:tcPr>
            <w:tcW w:w="838" w:type="dxa"/>
            <w:tcBorders>
              <w:top w:val="single" w:color="auto" w:sz="4" w:space="0"/>
              <w:left w:val="single" w:color="auto" w:sz="4" w:space="0"/>
              <w:bottom w:val="single" w:color="auto" w:sz="4" w:space="0"/>
              <w:right w:val="single" w:color="auto" w:sz="4" w:space="0"/>
            </w:tcBorders>
            <w:vAlign w:val="center"/>
          </w:tcPr>
          <w:p w14:paraId="279AF222">
            <w:pPr>
              <w:widowControl w:val="0"/>
              <w:spacing w:after="0" w:line="440" w:lineRule="exact"/>
              <w:jc w:val="center"/>
              <w:rPr>
                <w:rFonts w:hint="eastAsia" w:ascii="宋体" w:hAnsi="宋体" w:cs="宋体"/>
                <w:color w:val="auto"/>
                <w:sz w:val="24"/>
                <w:szCs w:val="24"/>
                <w:highlight w:val="none"/>
                <w:lang w:val="zh-CN"/>
              </w:rPr>
            </w:pPr>
          </w:p>
        </w:tc>
      </w:tr>
      <w:tr w14:paraId="30FA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3" w:hRule="exact"/>
          <w:jc w:val="center"/>
        </w:trPr>
        <w:tc>
          <w:tcPr>
            <w:tcW w:w="567" w:type="dxa"/>
            <w:tcBorders>
              <w:top w:val="single" w:color="auto" w:sz="4" w:space="0"/>
              <w:left w:val="single" w:color="auto" w:sz="4" w:space="0"/>
              <w:bottom w:val="single" w:color="auto" w:sz="4" w:space="0"/>
              <w:right w:val="single" w:color="auto" w:sz="4" w:space="0"/>
            </w:tcBorders>
            <w:vAlign w:val="center"/>
          </w:tcPr>
          <w:p w14:paraId="6A37D61A">
            <w:pPr>
              <w:widowControl w:val="0"/>
              <w:autoSpaceDE w:val="0"/>
              <w:autoSpaceDN w:val="0"/>
              <w:spacing w:after="0" w:line="440" w:lineRule="exact"/>
              <w:ind w:right="126"/>
              <w:jc w:val="center"/>
              <w:rPr>
                <w:rFonts w:hint="eastAsia"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2</w:t>
            </w:r>
          </w:p>
        </w:tc>
        <w:tc>
          <w:tcPr>
            <w:tcW w:w="1138" w:type="dxa"/>
            <w:tcBorders>
              <w:top w:val="single" w:color="auto" w:sz="4" w:space="0"/>
              <w:left w:val="single" w:color="auto" w:sz="4" w:space="0"/>
              <w:bottom w:val="single" w:color="auto" w:sz="4" w:space="0"/>
              <w:right w:val="single" w:color="auto" w:sz="4" w:space="0"/>
            </w:tcBorders>
            <w:vAlign w:val="center"/>
          </w:tcPr>
          <w:p w14:paraId="39696B14">
            <w:pPr>
              <w:widowControl w:val="0"/>
              <w:autoSpaceDE w:val="0"/>
              <w:autoSpaceDN w:val="0"/>
              <w:spacing w:after="0" w:line="440" w:lineRule="exact"/>
              <w:ind w:right="126"/>
              <w:jc w:val="center"/>
              <w:rPr>
                <w:rFonts w:hint="eastAsia" w:ascii="宋体" w:hAnsi="宋体" w:cs="宋体"/>
                <w:color w:val="auto"/>
                <w:kern w:val="2"/>
                <w:sz w:val="24"/>
                <w:szCs w:val="24"/>
                <w:highlight w:val="none"/>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14:paraId="7A534BAB">
            <w:pPr>
              <w:widowControl w:val="0"/>
              <w:autoSpaceDE w:val="0"/>
              <w:autoSpaceDN w:val="0"/>
              <w:spacing w:after="0" w:line="440" w:lineRule="exact"/>
              <w:ind w:right="126"/>
              <w:jc w:val="center"/>
              <w:rPr>
                <w:rFonts w:hint="eastAsia" w:ascii="宋体" w:hAnsi="宋体" w:cs="宋体"/>
                <w:color w:val="auto"/>
                <w:kern w:val="2"/>
                <w:sz w:val="24"/>
                <w:szCs w:val="24"/>
                <w:highlight w:val="none"/>
                <w:lang w:val="zh-CN"/>
              </w:rPr>
            </w:pPr>
          </w:p>
        </w:tc>
        <w:tc>
          <w:tcPr>
            <w:tcW w:w="1550" w:type="dxa"/>
            <w:tcBorders>
              <w:top w:val="single" w:color="auto" w:sz="4" w:space="0"/>
              <w:left w:val="single" w:color="auto" w:sz="4" w:space="0"/>
              <w:bottom w:val="single" w:color="auto" w:sz="4" w:space="0"/>
              <w:right w:val="single" w:color="auto" w:sz="4" w:space="0"/>
            </w:tcBorders>
            <w:vAlign w:val="center"/>
          </w:tcPr>
          <w:p w14:paraId="7CA4D2A4">
            <w:pPr>
              <w:widowControl w:val="0"/>
              <w:autoSpaceDE w:val="0"/>
              <w:autoSpaceDN w:val="0"/>
              <w:spacing w:after="0" w:line="440" w:lineRule="exact"/>
              <w:jc w:val="center"/>
              <w:rPr>
                <w:rFonts w:hint="eastAsia" w:ascii="宋体" w:hAnsi="宋体" w:cs="宋体"/>
                <w:color w:val="auto"/>
                <w:kern w:val="2"/>
                <w:sz w:val="24"/>
                <w:szCs w:val="24"/>
                <w:highlight w:val="none"/>
                <w:lang w:val="zh-CN"/>
              </w:rPr>
            </w:pPr>
          </w:p>
        </w:tc>
        <w:tc>
          <w:tcPr>
            <w:tcW w:w="1001" w:type="dxa"/>
            <w:tcBorders>
              <w:top w:val="single" w:color="auto" w:sz="4" w:space="0"/>
              <w:left w:val="single" w:color="auto" w:sz="4" w:space="0"/>
              <w:bottom w:val="single" w:color="auto" w:sz="4" w:space="0"/>
              <w:right w:val="single" w:color="auto" w:sz="4" w:space="0"/>
            </w:tcBorders>
            <w:vAlign w:val="center"/>
          </w:tcPr>
          <w:p w14:paraId="7409FF03">
            <w:pPr>
              <w:widowControl w:val="0"/>
              <w:spacing w:after="0" w:line="440" w:lineRule="exact"/>
              <w:jc w:val="center"/>
              <w:rPr>
                <w:rFonts w:hint="eastAsia" w:ascii="宋体" w:hAnsi="宋体" w:cs="宋体"/>
                <w:color w:val="auto"/>
                <w:sz w:val="24"/>
                <w:szCs w:val="24"/>
                <w:highlight w:val="none"/>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14:paraId="1A0B6B27">
            <w:pPr>
              <w:widowControl w:val="0"/>
              <w:spacing w:after="0" w:line="440" w:lineRule="exact"/>
              <w:jc w:val="center"/>
              <w:rPr>
                <w:rFonts w:hint="eastAsia" w:ascii="宋体" w:hAnsi="宋体" w:cs="宋体"/>
                <w:color w:val="auto"/>
                <w:sz w:val="24"/>
                <w:szCs w:val="24"/>
                <w:highlight w:val="none"/>
                <w:lang w:val="zh-CN"/>
              </w:rPr>
            </w:pPr>
          </w:p>
        </w:tc>
        <w:tc>
          <w:tcPr>
            <w:tcW w:w="996" w:type="dxa"/>
            <w:tcBorders>
              <w:top w:val="single" w:color="auto" w:sz="4" w:space="0"/>
              <w:left w:val="single" w:color="auto" w:sz="4" w:space="0"/>
              <w:bottom w:val="single" w:color="auto" w:sz="4" w:space="0"/>
              <w:right w:val="single" w:color="auto" w:sz="4" w:space="0"/>
            </w:tcBorders>
            <w:vAlign w:val="center"/>
          </w:tcPr>
          <w:p w14:paraId="78F0DE80">
            <w:pPr>
              <w:widowControl w:val="0"/>
              <w:spacing w:after="0" w:line="440" w:lineRule="exact"/>
              <w:jc w:val="center"/>
              <w:rPr>
                <w:rFonts w:hint="eastAsia" w:ascii="宋体" w:hAnsi="宋体" w:cs="宋体"/>
                <w:color w:val="auto"/>
                <w:sz w:val="24"/>
                <w:szCs w:val="24"/>
                <w:highlight w:val="none"/>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14:paraId="71EB39FB">
            <w:pPr>
              <w:widowControl w:val="0"/>
              <w:spacing w:after="0" w:line="440" w:lineRule="exact"/>
              <w:jc w:val="center"/>
              <w:rPr>
                <w:rFonts w:hint="eastAsia" w:ascii="宋体" w:hAnsi="宋体" w:cs="宋体"/>
                <w:color w:val="auto"/>
                <w:sz w:val="24"/>
                <w:szCs w:val="24"/>
                <w:highlight w:val="none"/>
                <w:lang w:val="zh-CN"/>
              </w:rPr>
            </w:pPr>
          </w:p>
        </w:tc>
        <w:tc>
          <w:tcPr>
            <w:tcW w:w="838" w:type="dxa"/>
            <w:tcBorders>
              <w:top w:val="single" w:color="auto" w:sz="4" w:space="0"/>
              <w:left w:val="single" w:color="auto" w:sz="4" w:space="0"/>
              <w:bottom w:val="single" w:color="auto" w:sz="4" w:space="0"/>
              <w:right w:val="single" w:color="auto" w:sz="4" w:space="0"/>
            </w:tcBorders>
            <w:vAlign w:val="center"/>
          </w:tcPr>
          <w:p w14:paraId="457576EF">
            <w:pPr>
              <w:widowControl w:val="0"/>
              <w:spacing w:after="0" w:line="440" w:lineRule="exact"/>
              <w:jc w:val="center"/>
              <w:rPr>
                <w:rFonts w:hint="eastAsia" w:ascii="宋体" w:hAnsi="宋体" w:cs="宋体"/>
                <w:color w:val="auto"/>
                <w:sz w:val="24"/>
                <w:szCs w:val="24"/>
                <w:highlight w:val="none"/>
                <w:lang w:val="zh-CN"/>
              </w:rPr>
            </w:pPr>
          </w:p>
        </w:tc>
      </w:tr>
      <w:tr w14:paraId="3EAEF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567" w:type="dxa"/>
            <w:tcBorders>
              <w:top w:val="single" w:color="auto" w:sz="4" w:space="0"/>
              <w:left w:val="single" w:color="auto" w:sz="4" w:space="0"/>
              <w:bottom w:val="single" w:color="auto" w:sz="4" w:space="0"/>
              <w:right w:val="single" w:color="auto" w:sz="4" w:space="0"/>
            </w:tcBorders>
            <w:vAlign w:val="center"/>
          </w:tcPr>
          <w:p w14:paraId="2005FC57">
            <w:pPr>
              <w:widowControl w:val="0"/>
              <w:autoSpaceDE w:val="0"/>
              <w:autoSpaceDN w:val="0"/>
              <w:spacing w:after="0" w:line="440" w:lineRule="exact"/>
              <w:jc w:val="center"/>
              <w:rPr>
                <w:rFonts w:hint="eastAsia"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3</w:t>
            </w:r>
          </w:p>
        </w:tc>
        <w:tc>
          <w:tcPr>
            <w:tcW w:w="1138" w:type="dxa"/>
            <w:tcBorders>
              <w:top w:val="single" w:color="auto" w:sz="4" w:space="0"/>
              <w:left w:val="single" w:color="auto" w:sz="4" w:space="0"/>
              <w:bottom w:val="single" w:color="auto" w:sz="4" w:space="0"/>
              <w:right w:val="single" w:color="auto" w:sz="4" w:space="0"/>
            </w:tcBorders>
            <w:vAlign w:val="center"/>
          </w:tcPr>
          <w:p w14:paraId="645A37DF">
            <w:pPr>
              <w:widowControl w:val="0"/>
              <w:autoSpaceDE w:val="0"/>
              <w:autoSpaceDN w:val="0"/>
              <w:spacing w:after="0" w:line="440" w:lineRule="exact"/>
              <w:jc w:val="center"/>
              <w:rPr>
                <w:rFonts w:hint="eastAsia" w:ascii="宋体" w:hAnsi="宋体" w:cs="宋体"/>
                <w:color w:val="auto"/>
                <w:kern w:val="2"/>
                <w:sz w:val="24"/>
                <w:szCs w:val="24"/>
                <w:highlight w:val="none"/>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14:paraId="3A338020">
            <w:pPr>
              <w:widowControl w:val="0"/>
              <w:autoSpaceDE w:val="0"/>
              <w:autoSpaceDN w:val="0"/>
              <w:spacing w:after="0" w:line="440" w:lineRule="exact"/>
              <w:jc w:val="center"/>
              <w:rPr>
                <w:rFonts w:hint="eastAsia" w:ascii="宋体" w:hAnsi="宋体" w:cs="宋体"/>
                <w:color w:val="auto"/>
                <w:kern w:val="2"/>
                <w:sz w:val="24"/>
                <w:szCs w:val="24"/>
                <w:highlight w:val="none"/>
                <w:lang w:val="zh-CN"/>
              </w:rPr>
            </w:pPr>
          </w:p>
        </w:tc>
        <w:tc>
          <w:tcPr>
            <w:tcW w:w="1550" w:type="dxa"/>
            <w:tcBorders>
              <w:top w:val="single" w:color="auto" w:sz="4" w:space="0"/>
              <w:left w:val="single" w:color="auto" w:sz="4" w:space="0"/>
              <w:bottom w:val="single" w:color="auto" w:sz="4" w:space="0"/>
              <w:right w:val="single" w:color="auto" w:sz="4" w:space="0"/>
            </w:tcBorders>
            <w:vAlign w:val="center"/>
          </w:tcPr>
          <w:p w14:paraId="5FF2A073">
            <w:pPr>
              <w:widowControl w:val="0"/>
              <w:autoSpaceDE w:val="0"/>
              <w:autoSpaceDN w:val="0"/>
              <w:spacing w:after="0" w:line="440" w:lineRule="exact"/>
              <w:jc w:val="center"/>
              <w:rPr>
                <w:rFonts w:hint="eastAsia" w:ascii="宋体" w:hAnsi="宋体" w:cs="宋体"/>
                <w:color w:val="auto"/>
                <w:kern w:val="2"/>
                <w:sz w:val="24"/>
                <w:szCs w:val="24"/>
                <w:highlight w:val="none"/>
                <w:lang w:val="zh-CN"/>
              </w:rPr>
            </w:pPr>
          </w:p>
        </w:tc>
        <w:tc>
          <w:tcPr>
            <w:tcW w:w="1001" w:type="dxa"/>
            <w:tcBorders>
              <w:top w:val="single" w:color="auto" w:sz="4" w:space="0"/>
              <w:left w:val="single" w:color="auto" w:sz="4" w:space="0"/>
              <w:bottom w:val="single" w:color="auto" w:sz="4" w:space="0"/>
              <w:right w:val="single" w:color="auto" w:sz="4" w:space="0"/>
            </w:tcBorders>
            <w:vAlign w:val="center"/>
          </w:tcPr>
          <w:p w14:paraId="17170999">
            <w:pPr>
              <w:widowControl w:val="0"/>
              <w:spacing w:after="0" w:line="440" w:lineRule="exact"/>
              <w:jc w:val="center"/>
              <w:rPr>
                <w:rFonts w:hint="eastAsia" w:ascii="宋体" w:hAnsi="宋体" w:cs="宋体"/>
                <w:color w:val="auto"/>
                <w:sz w:val="24"/>
                <w:szCs w:val="24"/>
                <w:highlight w:val="none"/>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14:paraId="1419A07A">
            <w:pPr>
              <w:widowControl w:val="0"/>
              <w:spacing w:after="0" w:line="440" w:lineRule="exact"/>
              <w:jc w:val="center"/>
              <w:rPr>
                <w:rFonts w:hint="eastAsia" w:ascii="宋体" w:hAnsi="宋体" w:cs="宋体"/>
                <w:color w:val="auto"/>
                <w:sz w:val="24"/>
                <w:szCs w:val="24"/>
                <w:highlight w:val="none"/>
                <w:lang w:val="zh-CN"/>
              </w:rPr>
            </w:pPr>
          </w:p>
        </w:tc>
        <w:tc>
          <w:tcPr>
            <w:tcW w:w="996" w:type="dxa"/>
            <w:tcBorders>
              <w:top w:val="single" w:color="auto" w:sz="4" w:space="0"/>
              <w:left w:val="single" w:color="auto" w:sz="4" w:space="0"/>
              <w:bottom w:val="single" w:color="auto" w:sz="4" w:space="0"/>
              <w:right w:val="single" w:color="auto" w:sz="4" w:space="0"/>
            </w:tcBorders>
            <w:vAlign w:val="center"/>
          </w:tcPr>
          <w:p w14:paraId="2CCE6A36">
            <w:pPr>
              <w:widowControl w:val="0"/>
              <w:spacing w:after="0" w:line="440" w:lineRule="exact"/>
              <w:jc w:val="center"/>
              <w:rPr>
                <w:rFonts w:hint="eastAsia" w:ascii="宋体" w:hAnsi="宋体" w:cs="宋体"/>
                <w:color w:val="auto"/>
                <w:sz w:val="24"/>
                <w:szCs w:val="24"/>
                <w:highlight w:val="none"/>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14:paraId="337D4C43">
            <w:pPr>
              <w:widowControl w:val="0"/>
              <w:spacing w:after="0" w:line="440" w:lineRule="exact"/>
              <w:jc w:val="center"/>
              <w:rPr>
                <w:rFonts w:hint="eastAsia" w:ascii="宋体" w:hAnsi="宋体" w:cs="宋体"/>
                <w:color w:val="auto"/>
                <w:sz w:val="24"/>
                <w:szCs w:val="24"/>
                <w:highlight w:val="none"/>
                <w:lang w:val="zh-CN"/>
              </w:rPr>
            </w:pPr>
          </w:p>
        </w:tc>
        <w:tc>
          <w:tcPr>
            <w:tcW w:w="838" w:type="dxa"/>
            <w:tcBorders>
              <w:top w:val="single" w:color="auto" w:sz="4" w:space="0"/>
              <w:left w:val="single" w:color="auto" w:sz="4" w:space="0"/>
              <w:bottom w:val="single" w:color="auto" w:sz="4" w:space="0"/>
              <w:right w:val="single" w:color="auto" w:sz="4" w:space="0"/>
            </w:tcBorders>
            <w:vAlign w:val="center"/>
          </w:tcPr>
          <w:p w14:paraId="5902F6CB">
            <w:pPr>
              <w:widowControl w:val="0"/>
              <w:spacing w:after="0" w:line="440" w:lineRule="exact"/>
              <w:jc w:val="center"/>
              <w:rPr>
                <w:rFonts w:hint="eastAsia" w:ascii="宋体" w:hAnsi="宋体" w:cs="宋体"/>
                <w:color w:val="auto"/>
                <w:sz w:val="24"/>
                <w:szCs w:val="24"/>
                <w:highlight w:val="none"/>
                <w:lang w:val="zh-CN"/>
              </w:rPr>
            </w:pPr>
          </w:p>
        </w:tc>
      </w:tr>
      <w:tr w14:paraId="4FEF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exact"/>
          <w:jc w:val="center"/>
        </w:trPr>
        <w:tc>
          <w:tcPr>
            <w:tcW w:w="567" w:type="dxa"/>
            <w:tcBorders>
              <w:top w:val="single" w:color="auto" w:sz="4" w:space="0"/>
              <w:left w:val="single" w:color="auto" w:sz="4" w:space="0"/>
              <w:bottom w:val="single" w:color="auto" w:sz="4" w:space="0"/>
              <w:right w:val="single" w:color="auto" w:sz="4" w:space="0"/>
            </w:tcBorders>
            <w:vAlign w:val="center"/>
          </w:tcPr>
          <w:p w14:paraId="2E342283">
            <w:pPr>
              <w:widowControl w:val="0"/>
              <w:autoSpaceDE w:val="0"/>
              <w:autoSpaceDN w:val="0"/>
              <w:spacing w:after="0" w:line="440" w:lineRule="exact"/>
              <w:jc w:val="center"/>
              <w:rPr>
                <w:rFonts w:hint="eastAsia"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w:t>
            </w:r>
          </w:p>
        </w:tc>
        <w:tc>
          <w:tcPr>
            <w:tcW w:w="1138" w:type="dxa"/>
            <w:tcBorders>
              <w:top w:val="single" w:color="auto" w:sz="4" w:space="0"/>
              <w:left w:val="single" w:color="auto" w:sz="4" w:space="0"/>
              <w:bottom w:val="single" w:color="auto" w:sz="4" w:space="0"/>
              <w:right w:val="single" w:color="auto" w:sz="4" w:space="0"/>
            </w:tcBorders>
            <w:vAlign w:val="center"/>
          </w:tcPr>
          <w:p w14:paraId="418588AD">
            <w:pPr>
              <w:widowControl w:val="0"/>
              <w:autoSpaceDE w:val="0"/>
              <w:autoSpaceDN w:val="0"/>
              <w:spacing w:after="0" w:line="440" w:lineRule="exact"/>
              <w:jc w:val="center"/>
              <w:rPr>
                <w:rFonts w:hint="eastAsia" w:ascii="宋体" w:hAnsi="宋体" w:cs="宋体"/>
                <w:color w:val="auto"/>
                <w:kern w:val="2"/>
                <w:sz w:val="24"/>
                <w:szCs w:val="24"/>
                <w:highlight w:val="none"/>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14:paraId="019100A6">
            <w:pPr>
              <w:widowControl w:val="0"/>
              <w:autoSpaceDE w:val="0"/>
              <w:autoSpaceDN w:val="0"/>
              <w:spacing w:after="0" w:line="440" w:lineRule="exact"/>
              <w:jc w:val="center"/>
              <w:rPr>
                <w:rFonts w:hint="eastAsia" w:ascii="宋体" w:hAnsi="宋体" w:cs="宋体"/>
                <w:color w:val="auto"/>
                <w:kern w:val="2"/>
                <w:sz w:val="24"/>
                <w:szCs w:val="24"/>
                <w:highlight w:val="none"/>
                <w:lang w:val="zh-CN"/>
              </w:rPr>
            </w:pPr>
          </w:p>
        </w:tc>
        <w:tc>
          <w:tcPr>
            <w:tcW w:w="1550" w:type="dxa"/>
            <w:tcBorders>
              <w:top w:val="single" w:color="auto" w:sz="4" w:space="0"/>
              <w:left w:val="single" w:color="auto" w:sz="4" w:space="0"/>
              <w:bottom w:val="single" w:color="auto" w:sz="4" w:space="0"/>
              <w:right w:val="single" w:color="auto" w:sz="4" w:space="0"/>
            </w:tcBorders>
            <w:vAlign w:val="center"/>
          </w:tcPr>
          <w:p w14:paraId="2E5E8C7A">
            <w:pPr>
              <w:widowControl w:val="0"/>
              <w:autoSpaceDE w:val="0"/>
              <w:autoSpaceDN w:val="0"/>
              <w:spacing w:after="0" w:line="440" w:lineRule="exact"/>
              <w:jc w:val="center"/>
              <w:rPr>
                <w:rFonts w:hint="eastAsia" w:ascii="宋体" w:hAnsi="宋体" w:cs="宋体"/>
                <w:color w:val="auto"/>
                <w:kern w:val="2"/>
                <w:sz w:val="24"/>
                <w:szCs w:val="24"/>
                <w:highlight w:val="none"/>
                <w:lang w:val="zh-CN"/>
              </w:rPr>
            </w:pPr>
          </w:p>
        </w:tc>
        <w:tc>
          <w:tcPr>
            <w:tcW w:w="1001" w:type="dxa"/>
            <w:tcBorders>
              <w:top w:val="single" w:color="auto" w:sz="4" w:space="0"/>
              <w:left w:val="single" w:color="auto" w:sz="4" w:space="0"/>
              <w:bottom w:val="single" w:color="auto" w:sz="4" w:space="0"/>
              <w:right w:val="single" w:color="auto" w:sz="4" w:space="0"/>
            </w:tcBorders>
            <w:vAlign w:val="center"/>
          </w:tcPr>
          <w:p w14:paraId="74EDDA06">
            <w:pPr>
              <w:widowControl w:val="0"/>
              <w:spacing w:after="0" w:line="440" w:lineRule="exact"/>
              <w:jc w:val="center"/>
              <w:rPr>
                <w:rFonts w:hint="eastAsia" w:ascii="宋体" w:hAnsi="宋体" w:cs="宋体"/>
                <w:color w:val="auto"/>
                <w:sz w:val="24"/>
                <w:szCs w:val="24"/>
                <w:highlight w:val="none"/>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14:paraId="5F979980">
            <w:pPr>
              <w:widowControl w:val="0"/>
              <w:spacing w:after="0" w:line="440" w:lineRule="exact"/>
              <w:jc w:val="center"/>
              <w:rPr>
                <w:rFonts w:hint="eastAsia" w:ascii="宋体" w:hAnsi="宋体" w:cs="宋体"/>
                <w:color w:val="auto"/>
                <w:sz w:val="24"/>
                <w:szCs w:val="24"/>
                <w:highlight w:val="none"/>
                <w:lang w:val="zh-CN"/>
              </w:rPr>
            </w:pPr>
          </w:p>
        </w:tc>
        <w:tc>
          <w:tcPr>
            <w:tcW w:w="996" w:type="dxa"/>
            <w:tcBorders>
              <w:top w:val="single" w:color="auto" w:sz="4" w:space="0"/>
              <w:left w:val="single" w:color="auto" w:sz="4" w:space="0"/>
              <w:bottom w:val="single" w:color="auto" w:sz="4" w:space="0"/>
              <w:right w:val="single" w:color="auto" w:sz="4" w:space="0"/>
            </w:tcBorders>
            <w:vAlign w:val="center"/>
          </w:tcPr>
          <w:p w14:paraId="1CA9DDE7">
            <w:pPr>
              <w:widowControl w:val="0"/>
              <w:spacing w:after="0" w:line="440" w:lineRule="exact"/>
              <w:jc w:val="center"/>
              <w:rPr>
                <w:rFonts w:hint="eastAsia" w:ascii="宋体" w:hAnsi="宋体" w:cs="宋体"/>
                <w:color w:val="auto"/>
                <w:sz w:val="24"/>
                <w:szCs w:val="24"/>
                <w:highlight w:val="none"/>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14:paraId="22438734">
            <w:pPr>
              <w:widowControl w:val="0"/>
              <w:spacing w:after="0" w:line="440" w:lineRule="exact"/>
              <w:jc w:val="center"/>
              <w:rPr>
                <w:rFonts w:hint="eastAsia" w:ascii="宋体" w:hAnsi="宋体" w:cs="宋体"/>
                <w:color w:val="auto"/>
                <w:sz w:val="24"/>
                <w:szCs w:val="24"/>
                <w:highlight w:val="none"/>
                <w:lang w:val="zh-CN"/>
              </w:rPr>
            </w:pPr>
          </w:p>
        </w:tc>
        <w:tc>
          <w:tcPr>
            <w:tcW w:w="838" w:type="dxa"/>
            <w:tcBorders>
              <w:top w:val="single" w:color="auto" w:sz="4" w:space="0"/>
              <w:left w:val="single" w:color="auto" w:sz="4" w:space="0"/>
              <w:bottom w:val="single" w:color="auto" w:sz="4" w:space="0"/>
              <w:right w:val="single" w:color="auto" w:sz="4" w:space="0"/>
            </w:tcBorders>
            <w:vAlign w:val="center"/>
          </w:tcPr>
          <w:p w14:paraId="3B3B1B54">
            <w:pPr>
              <w:widowControl w:val="0"/>
              <w:spacing w:after="0" w:line="440" w:lineRule="exact"/>
              <w:jc w:val="center"/>
              <w:rPr>
                <w:rFonts w:hint="eastAsia" w:ascii="宋体" w:hAnsi="宋体" w:cs="宋体"/>
                <w:color w:val="auto"/>
                <w:sz w:val="24"/>
                <w:szCs w:val="24"/>
                <w:highlight w:val="none"/>
                <w:lang w:val="zh-CN"/>
              </w:rPr>
            </w:pPr>
          </w:p>
        </w:tc>
      </w:tr>
    </w:tbl>
    <w:p w14:paraId="3F801A93">
      <w:pPr>
        <w:widowControl w:val="0"/>
        <w:spacing w:after="0" w:line="440" w:lineRule="exact"/>
        <w:ind w:left="1092" w:hanging="1092" w:hangingChars="455"/>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说明：1．每个项目应单独附相关证明文件（如中标通知书或合同首页、合同金额所在页、合同签字盖章页扫描件），未按照要求提供导致的后果由供应商自行承担。</w:t>
      </w:r>
    </w:p>
    <w:p w14:paraId="454D9C9C">
      <w:pPr>
        <w:widowControl w:val="0"/>
        <w:spacing w:after="0" w:line="440" w:lineRule="exact"/>
        <w:ind w:left="1095" w:leftChars="339" w:hanging="350" w:hangingChars="146"/>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2．项目内容应详细说明所承担的具体工作内容等。</w:t>
      </w:r>
    </w:p>
    <w:p w14:paraId="43C60980">
      <w:pPr>
        <w:spacing w:line="440" w:lineRule="exact"/>
        <w:ind w:left="1010" w:leftChars="350" w:hanging="240" w:hangingChars="100"/>
        <w:rPr>
          <w:rFonts w:hint="eastAsia" w:ascii="宋体" w:hAnsi="宋体" w:cs="宋体"/>
          <w:color w:val="auto"/>
          <w:sz w:val="24"/>
          <w:szCs w:val="24"/>
          <w:highlight w:val="none"/>
        </w:rPr>
      </w:pPr>
      <w:r>
        <w:rPr>
          <w:rFonts w:hint="eastAsia" w:ascii="宋体" w:hAnsi="宋体" w:cs="宋体"/>
          <w:color w:val="auto"/>
          <w:kern w:val="2"/>
          <w:sz w:val="24"/>
          <w:szCs w:val="24"/>
          <w:highlight w:val="none"/>
        </w:rPr>
        <w:t>3.</w:t>
      </w:r>
      <w:r>
        <w:rPr>
          <w:rFonts w:hint="eastAsia" w:ascii="宋体" w:hAnsi="宋体" w:cs="宋体"/>
          <w:b/>
          <w:color w:val="auto"/>
          <w:kern w:val="2"/>
          <w:sz w:val="24"/>
          <w:szCs w:val="24"/>
          <w:highlight w:val="none"/>
        </w:rPr>
        <w:t>如采购需求或评审条款要求提供用户评价，请依照此表格式自制《类似项目业绩用户评价表》，并按项目逐一附业主评价材料（需业主单位盖章）扫描件</w:t>
      </w:r>
      <w:r>
        <w:rPr>
          <w:rFonts w:hint="eastAsia" w:ascii="宋体" w:hAnsi="宋体" w:cs="宋体"/>
          <w:color w:val="auto"/>
          <w:kern w:val="2"/>
          <w:sz w:val="24"/>
          <w:szCs w:val="24"/>
          <w:highlight w:val="none"/>
        </w:rPr>
        <w:t>。</w:t>
      </w:r>
    </w:p>
    <w:p w14:paraId="5B508EB9">
      <w:pPr>
        <w:spacing w:line="440" w:lineRule="exact"/>
        <w:ind w:firstLine="720" w:firstLineChars="300"/>
        <w:rPr>
          <w:rFonts w:hint="eastAsia" w:ascii="宋体" w:hAnsi="宋体" w:cs="宋体"/>
          <w:color w:val="auto"/>
          <w:sz w:val="24"/>
          <w:szCs w:val="24"/>
          <w:highlight w:val="none"/>
        </w:rPr>
      </w:pPr>
    </w:p>
    <w:p w14:paraId="1A31D919">
      <w:pPr>
        <w:spacing w:before="100" w:beforeAutospacing="1" w:after="100" w:afterAutospacing="1" w:line="440" w:lineRule="exact"/>
        <w:ind w:firstLine="3316" w:firstLineChars="1382"/>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供应商名称（公章）：</w:t>
      </w:r>
      <w:r>
        <w:rPr>
          <w:rFonts w:hint="eastAsia" w:ascii="宋体" w:hAnsi="宋体" w:cs="宋体"/>
          <w:bCs/>
          <w:color w:val="auto"/>
          <w:sz w:val="24"/>
          <w:szCs w:val="24"/>
          <w:highlight w:val="none"/>
          <w:u w:val="single"/>
        </w:rPr>
        <w:t xml:space="preserve">                         </w:t>
      </w:r>
    </w:p>
    <w:p w14:paraId="241BCE29">
      <w:pPr>
        <w:spacing w:before="100" w:beforeAutospacing="1" w:after="100" w:afterAutospacing="1" w:line="440" w:lineRule="exact"/>
        <w:ind w:firstLine="3316" w:firstLineChars="1382"/>
        <w:rPr>
          <w:rFonts w:hint="eastAsia" w:ascii="宋体" w:hAnsi="宋体" w:cs="宋体"/>
          <w:color w:val="auto"/>
          <w:sz w:val="24"/>
          <w:szCs w:val="24"/>
          <w:highlight w:val="none"/>
        </w:rPr>
      </w:pPr>
      <w:r>
        <w:rPr>
          <w:rFonts w:hint="eastAsia" w:ascii="宋体" w:hAnsi="宋体" w:cs="宋体"/>
          <w:bCs/>
          <w:color w:val="auto"/>
          <w:sz w:val="24"/>
          <w:szCs w:val="24"/>
          <w:highlight w:val="none"/>
          <w:lang w:val="zh-CN"/>
        </w:rPr>
        <w:t>日期</w:t>
      </w:r>
      <w:r>
        <w:rPr>
          <w:rFonts w:hint="eastAsia" w:ascii="宋体" w:hAnsi="宋体" w:cs="宋体"/>
          <w:bCs/>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14:paraId="6E8564AD">
      <w:pPr>
        <w:numPr>
          <w:ilvl w:val="0"/>
          <w:numId w:val="61"/>
        </w:numPr>
        <w:tabs>
          <w:tab w:val="left" w:pos="426"/>
        </w:tabs>
        <w:spacing w:after="0" w:line="440" w:lineRule="exact"/>
        <w:ind w:left="0" w:firstLine="0"/>
        <w:contextualSpacing/>
        <w:jc w:val="both"/>
        <w:outlineLvl w:val="1"/>
        <w:rPr>
          <w:rFonts w:hint="eastAsia" w:ascii="宋体" w:hAnsi="宋体" w:cs="宋体"/>
          <w:color w:val="auto"/>
          <w:kern w:val="2"/>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kern w:val="2"/>
          <w:sz w:val="24"/>
          <w:szCs w:val="24"/>
          <w:highlight w:val="none"/>
        </w:rPr>
        <w:t>技术、服务及商务文件</w:t>
      </w:r>
    </w:p>
    <w:p w14:paraId="2E719971">
      <w:pPr>
        <w:widowControl w:val="0"/>
        <w:autoSpaceDE w:val="0"/>
        <w:autoSpaceDN w:val="0"/>
        <w:adjustRightInd w:val="0"/>
        <w:spacing w:before="156" w:beforeLines="50" w:after="156" w:afterLines="50" w:line="440" w:lineRule="exact"/>
        <w:jc w:val="center"/>
        <w:rPr>
          <w:rFonts w:hint="eastAsia" w:ascii="宋体" w:hAnsi="宋体" w:cs="宋体"/>
          <w:b/>
          <w:color w:val="auto"/>
          <w:sz w:val="24"/>
          <w:szCs w:val="24"/>
          <w:highlight w:val="none"/>
        </w:rPr>
      </w:pPr>
      <w:r>
        <w:rPr>
          <w:rFonts w:hint="eastAsia" w:ascii="宋体" w:hAnsi="宋体" w:cs="宋体"/>
          <w:b/>
          <w:color w:val="auto"/>
          <w:kern w:val="2"/>
          <w:sz w:val="24"/>
          <w:szCs w:val="24"/>
          <w:highlight w:val="none"/>
        </w:rPr>
        <w:t>技术、服务及商务文件</w:t>
      </w:r>
    </w:p>
    <w:p w14:paraId="43B7C7A3">
      <w:pPr>
        <w:widowControl w:val="0"/>
        <w:autoSpaceDE w:val="0"/>
        <w:autoSpaceDN w:val="0"/>
        <w:adjustRightInd w:val="0"/>
        <w:spacing w:after="0" w:line="440" w:lineRule="exact"/>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由供应商根据第三章采购需求自行编写，编写内容可参考下述要求：</w:t>
      </w:r>
    </w:p>
    <w:p w14:paraId="5E43F821">
      <w:pPr>
        <w:autoSpaceDE w:val="0"/>
        <w:autoSpaceDN w:val="0"/>
        <w:adjustRightInd w:val="0"/>
        <w:spacing w:after="0"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一、技术、服务及商务响应情况</w:t>
      </w:r>
    </w:p>
    <w:p w14:paraId="348980C1">
      <w:pPr>
        <w:widowControl w:val="0"/>
        <w:tabs>
          <w:tab w:val="left" w:pos="993"/>
          <w:tab w:val="left" w:pos="1134"/>
        </w:tabs>
        <w:autoSpaceDE w:val="0"/>
        <w:autoSpaceDN w:val="0"/>
        <w:adjustRightInd w:val="0"/>
        <w:spacing w:after="0" w:line="440" w:lineRule="exact"/>
        <w:ind w:left="431"/>
        <w:contextualSpacing/>
        <w:jc w:val="both"/>
        <w:rPr>
          <w:rFonts w:hint="eastAsia" w:ascii="宋体" w:hAnsi="宋体" w:cs="宋体"/>
          <w:color w:val="auto"/>
          <w:sz w:val="24"/>
          <w:szCs w:val="24"/>
          <w:highlight w:val="none"/>
        </w:rPr>
      </w:pPr>
      <w:r>
        <w:rPr>
          <w:rFonts w:hint="eastAsia" w:ascii="宋体" w:hAnsi="宋体" w:cs="宋体"/>
          <w:b/>
          <w:bCs/>
          <w:color w:val="auto"/>
          <w:sz w:val="24"/>
          <w:szCs w:val="24"/>
          <w:highlight w:val="none"/>
        </w:rPr>
        <w:t>依据详细评审要求提供相应资料</w:t>
      </w:r>
    </w:p>
    <w:p w14:paraId="0D61F012">
      <w:pPr>
        <w:autoSpaceDE w:val="0"/>
        <w:autoSpaceDN w:val="0"/>
        <w:adjustRightIn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二、采购文件要求或供应商认为需提供的其他材料或情况说明（如有）</w:t>
      </w:r>
    </w:p>
    <w:p w14:paraId="2BD795CF">
      <w:pPr>
        <w:spacing w:after="0"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23BB749C">
      <w:pPr>
        <w:pStyle w:val="99"/>
        <w:numPr>
          <w:ilvl w:val="0"/>
          <w:numId w:val="61"/>
        </w:numPr>
        <w:spacing w:after="0" w:line="440" w:lineRule="exact"/>
        <w:ind w:left="42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技术、</w:t>
      </w:r>
      <w:r>
        <w:rPr>
          <w:rFonts w:hint="eastAsia" w:ascii="宋体" w:hAnsi="宋体" w:cs="宋体"/>
          <w:color w:val="auto"/>
          <w:kern w:val="2"/>
          <w:sz w:val="24"/>
          <w:szCs w:val="24"/>
          <w:highlight w:val="none"/>
        </w:rPr>
        <w:t>服务及商务要求响应</w:t>
      </w:r>
      <w:r>
        <w:rPr>
          <w:rFonts w:hint="eastAsia" w:ascii="宋体" w:hAnsi="宋体" w:cs="宋体"/>
          <w:color w:val="auto"/>
          <w:sz w:val="24"/>
          <w:szCs w:val="24"/>
          <w:highlight w:val="none"/>
        </w:rPr>
        <w:t>、偏离说明表</w:t>
      </w:r>
    </w:p>
    <w:p w14:paraId="7BCEFFB1">
      <w:pPr>
        <w:spacing w:line="44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技术、服务及商务要求响应、偏离说明表</w:t>
      </w:r>
    </w:p>
    <w:p w14:paraId="2FC30DE1">
      <w:pPr>
        <w:spacing w:line="440" w:lineRule="exact"/>
        <w:ind w:left="420"/>
        <w:rPr>
          <w:rFonts w:hint="eastAsia" w:ascii="宋体" w:hAnsi="宋体" w:cs="宋体"/>
          <w:color w:val="auto"/>
          <w:sz w:val="24"/>
          <w:szCs w:val="24"/>
          <w:highlight w:val="none"/>
        </w:rPr>
      </w:pPr>
      <w:r>
        <w:rPr>
          <w:rFonts w:hint="eastAsia" w:ascii="宋体" w:hAnsi="宋体" w:cs="宋体"/>
          <w:color w:val="auto"/>
          <w:sz w:val="24"/>
          <w:szCs w:val="24"/>
          <w:highlight w:val="none"/>
        </w:rPr>
        <w:t>供 应 商：</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4"/>
          <w:szCs w:val="24"/>
          <w:highlight w:val="none"/>
          <w:lang w:val="zh-CN"/>
        </w:rPr>
        <w:t xml:space="preserve"> </w:t>
      </w:r>
    </w:p>
    <w:p w14:paraId="1F924802">
      <w:pPr>
        <w:spacing w:line="440" w:lineRule="exact"/>
        <w:ind w:left="420"/>
        <w:rPr>
          <w:rFonts w:hint="eastAsia" w:ascii="宋体" w:hAnsi="宋体" w:cs="宋体"/>
          <w:b/>
          <w:color w:val="auto"/>
          <w:sz w:val="24"/>
          <w:szCs w:val="24"/>
          <w:highlight w:val="none"/>
        </w:rPr>
      </w:pPr>
      <w:r>
        <w:rPr>
          <w:rFonts w:hint="eastAsia" w:ascii="宋体" w:hAnsi="宋体" w:cs="宋体"/>
          <w:color w:val="auto"/>
          <w:sz w:val="24"/>
          <w:szCs w:val="24"/>
          <w:highlight w:val="none"/>
          <w:lang w:val="zh-CN"/>
        </w:rPr>
        <w:t>项目编号：</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4"/>
          <w:szCs w:val="24"/>
          <w:highlight w:val="none"/>
          <w:lang w:val="zh-CN"/>
        </w:rPr>
        <w:t xml:space="preserve">     </w:t>
      </w:r>
      <w:r>
        <w:rPr>
          <w:rFonts w:hint="eastAsia" w:ascii="宋体" w:hAnsi="宋体" w:cs="宋体"/>
          <w:bCs/>
          <w:color w:val="auto"/>
          <w:sz w:val="24"/>
          <w:szCs w:val="24"/>
          <w:highlight w:val="none"/>
          <w:lang w:val="zh-CN"/>
        </w:rPr>
        <w:t xml:space="preserve">  项目名称：</w:t>
      </w:r>
      <w:r>
        <w:rPr>
          <w:rFonts w:hint="eastAsia" w:ascii="宋体" w:hAnsi="宋体" w:cs="宋体"/>
          <w:bCs/>
          <w:color w:val="auto"/>
          <w:sz w:val="24"/>
          <w:szCs w:val="24"/>
          <w:highlight w:val="none"/>
          <w:u w:val="single"/>
          <w:lang w:val="zh-CN"/>
        </w:rPr>
        <w:t xml:space="preserve">                           </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14:paraId="57DC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tcBorders>
              <w:top w:val="single" w:color="auto" w:sz="4" w:space="0"/>
              <w:left w:val="single" w:color="auto" w:sz="4" w:space="0"/>
              <w:bottom w:val="single" w:color="auto" w:sz="4" w:space="0"/>
              <w:right w:val="single" w:color="auto" w:sz="4" w:space="0"/>
            </w:tcBorders>
            <w:shd w:val="clear" w:color="auto" w:fill="F1F1F1"/>
            <w:vAlign w:val="center"/>
          </w:tcPr>
          <w:p w14:paraId="739C0BC8">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3031" w:type="dxa"/>
            <w:tcBorders>
              <w:top w:val="single" w:color="auto" w:sz="4" w:space="0"/>
              <w:left w:val="single" w:color="auto" w:sz="4" w:space="0"/>
              <w:bottom w:val="single" w:color="auto" w:sz="4" w:space="0"/>
              <w:right w:val="single" w:color="auto" w:sz="4" w:space="0"/>
            </w:tcBorders>
            <w:shd w:val="clear" w:color="auto" w:fill="F1F1F1"/>
            <w:vAlign w:val="center"/>
          </w:tcPr>
          <w:p w14:paraId="5A683258">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技术、服务及商务要求条款</w:t>
            </w:r>
          </w:p>
        </w:tc>
        <w:tc>
          <w:tcPr>
            <w:tcW w:w="2755" w:type="dxa"/>
            <w:tcBorders>
              <w:top w:val="single" w:color="auto" w:sz="4" w:space="0"/>
              <w:left w:val="single" w:color="auto" w:sz="4" w:space="0"/>
              <w:bottom w:val="single" w:color="auto" w:sz="4" w:space="0"/>
              <w:right w:val="single" w:color="auto" w:sz="4" w:space="0"/>
            </w:tcBorders>
            <w:shd w:val="clear" w:color="auto" w:fill="F1F1F1"/>
            <w:vAlign w:val="center"/>
          </w:tcPr>
          <w:p w14:paraId="77AA7A04">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响应内容对应简述</w:t>
            </w:r>
          </w:p>
        </w:tc>
        <w:tc>
          <w:tcPr>
            <w:tcW w:w="1364" w:type="dxa"/>
            <w:tcBorders>
              <w:top w:val="single" w:color="auto" w:sz="4" w:space="0"/>
              <w:left w:val="single" w:color="auto" w:sz="4" w:space="0"/>
              <w:bottom w:val="single" w:color="auto" w:sz="4" w:space="0"/>
              <w:right w:val="single" w:color="auto" w:sz="4" w:space="0"/>
            </w:tcBorders>
            <w:shd w:val="clear" w:color="auto" w:fill="F1F1F1"/>
            <w:vAlign w:val="center"/>
          </w:tcPr>
          <w:p w14:paraId="7D710BD4">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偏离说明</w:t>
            </w:r>
          </w:p>
        </w:tc>
        <w:tc>
          <w:tcPr>
            <w:tcW w:w="1619" w:type="dxa"/>
            <w:tcBorders>
              <w:top w:val="single" w:color="auto" w:sz="4" w:space="0"/>
              <w:left w:val="single" w:color="auto" w:sz="4" w:space="0"/>
              <w:bottom w:val="single" w:color="auto" w:sz="4" w:space="0"/>
              <w:right w:val="single" w:color="auto" w:sz="4" w:space="0"/>
            </w:tcBorders>
            <w:shd w:val="clear" w:color="auto" w:fill="F1F1F1"/>
            <w:vAlign w:val="center"/>
          </w:tcPr>
          <w:p w14:paraId="6D2AD18F">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对应页码</w:t>
            </w:r>
          </w:p>
        </w:tc>
      </w:tr>
      <w:tr w14:paraId="0297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tcBorders>
              <w:top w:val="single" w:color="auto" w:sz="4" w:space="0"/>
              <w:left w:val="single" w:color="auto" w:sz="4" w:space="0"/>
              <w:bottom w:val="single" w:color="auto" w:sz="4" w:space="0"/>
              <w:right w:val="single" w:color="auto" w:sz="4" w:space="0"/>
            </w:tcBorders>
            <w:vAlign w:val="center"/>
          </w:tcPr>
          <w:p w14:paraId="3244ED27">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3031" w:type="dxa"/>
            <w:tcBorders>
              <w:top w:val="single" w:color="auto" w:sz="4" w:space="0"/>
              <w:left w:val="single" w:color="auto" w:sz="4" w:space="0"/>
              <w:bottom w:val="single" w:color="auto" w:sz="4" w:space="0"/>
              <w:right w:val="single" w:color="auto" w:sz="4" w:space="0"/>
            </w:tcBorders>
            <w:vAlign w:val="center"/>
          </w:tcPr>
          <w:p w14:paraId="5842E601">
            <w:pPr>
              <w:spacing w:line="440" w:lineRule="exact"/>
              <w:jc w:val="center"/>
              <w:rPr>
                <w:rFonts w:hint="eastAsia" w:ascii="宋体" w:hAnsi="宋体" w:cs="宋体"/>
                <w:color w:val="auto"/>
                <w:sz w:val="24"/>
                <w:szCs w:val="24"/>
                <w:highlight w:val="none"/>
              </w:rPr>
            </w:pPr>
          </w:p>
        </w:tc>
        <w:tc>
          <w:tcPr>
            <w:tcW w:w="2755" w:type="dxa"/>
            <w:tcBorders>
              <w:top w:val="single" w:color="auto" w:sz="4" w:space="0"/>
              <w:left w:val="single" w:color="auto" w:sz="4" w:space="0"/>
              <w:bottom w:val="single" w:color="auto" w:sz="4" w:space="0"/>
              <w:right w:val="single" w:color="auto" w:sz="4" w:space="0"/>
            </w:tcBorders>
            <w:vAlign w:val="center"/>
          </w:tcPr>
          <w:p w14:paraId="0F2596D7">
            <w:pPr>
              <w:spacing w:line="440" w:lineRule="exact"/>
              <w:jc w:val="center"/>
              <w:rPr>
                <w:rFonts w:hint="eastAsia" w:ascii="宋体" w:hAnsi="宋体" w:cs="宋体"/>
                <w:color w:val="auto"/>
                <w:sz w:val="24"/>
                <w:szCs w:val="24"/>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45E950E3">
            <w:pPr>
              <w:spacing w:line="440" w:lineRule="exact"/>
              <w:jc w:val="center"/>
              <w:rPr>
                <w:rFonts w:hint="eastAsia" w:ascii="宋体" w:hAnsi="宋体" w:cs="宋体"/>
                <w:color w:val="auto"/>
                <w:sz w:val="24"/>
                <w:szCs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0CE2E766">
            <w:pPr>
              <w:spacing w:line="440" w:lineRule="exact"/>
              <w:jc w:val="center"/>
              <w:rPr>
                <w:rFonts w:hint="eastAsia" w:ascii="宋体" w:hAnsi="宋体" w:cs="宋体"/>
                <w:color w:val="auto"/>
                <w:sz w:val="24"/>
                <w:szCs w:val="24"/>
                <w:highlight w:val="none"/>
              </w:rPr>
            </w:pPr>
          </w:p>
        </w:tc>
      </w:tr>
      <w:tr w14:paraId="12E4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tcBorders>
              <w:top w:val="single" w:color="auto" w:sz="4" w:space="0"/>
              <w:left w:val="single" w:color="auto" w:sz="4" w:space="0"/>
              <w:bottom w:val="single" w:color="auto" w:sz="4" w:space="0"/>
              <w:right w:val="single" w:color="auto" w:sz="4" w:space="0"/>
            </w:tcBorders>
            <w:vAlign w:val="center"/>
          </w:tcPr>
          <w:p w14:paraId="43546CA3">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3031" w:type="dxa"/>
            <w:tcBorders>
              <w:top w:val="single" w:color="auto" w:sz="4" w:space="0"/>
              <w:left w:val="single" w:color="auto" w:sz="4" w:space="0"/>
              <w:bottom w:val="single" w:color="auto" w:sz="4" w:space="0"/>
              <w:right w:val="single" w:color="auto" w:sz="4" w:space="0"/>
            </w:tcBorders>
            <w:vAlign w:val="center"/>
          </w:tcPr>
          <w:p w14:paraId="5659C7ED">
            <w:pPr>
              <w:spacing w:line="440" w:lineRule="exact"/>
              <w:jc w:val="center"/>
              <w:rPr>
                <w:rFonts w:hint="eastAsia" w:ascii="宋体" w:hAnsi="宋体" w:cs="宋体"/>
                <w:color w:val="auto"/>
                <w:sz w:val="24"/>
                <w:szCs w:val="24"/>
                <w:highlight w:val="none"/>
              </w:rPr>
            </w:pPr>
          </w:p>
        </w:tc>
        <w:tc>
          <w:tcPr>
            <w:tcW w:w="2755" w:type="dxa"/>
            <w:tcBorders>
              <w:top w:val="single" w:color="auto" w:sz="4" w:space="0"/>
              <w:left w:val="single" w:color="auto" w:sz="4" w:space="0"/>
              <w:bottom w:val="single" w:color="auto" w:sz="4" w:space="0"/>
              <w:right w:val="single" w:color="auto" w:sz="4" w:space="0"/>
            </w:tcBorders>
            <w:vAlign w:val="center"/>
          </w:tcPr>
          <w:p w14:paraId="47006F5A">
            <w:pPr>
              <w:spacing w:line="440" w:lineRule="exact"/>
              <w:jc w:val="center"/>
              <w:rPr>
                <w:rFonts w:hint="eastAsia" w:ascii="宋体" w:hAnsi="宋体" w:cs="宋体"/>
                <w:color w:val="auto"/>
                <w:sz w:val="24"/>
                <w:szCs w:val="24"/>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21CFAF31">
            <w:pPr>
              <w:spacing w:line="440" w:lineRule="exact"/>
              <w:jc w:val="center"/>
              <w:rPr>
                <w:rFonts w:hint="eastAsia" w:ascii="宋体" w:hAnsi="宋体" w:cs="宋体"/>
                <w:color w:val="auto"/>
                <w:sz w:val="24"/>
                <w:szCs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0207E0FE">
            <w:pPr>
              <w:spacing w:line="440" w:lineRule="exact"/>
              <w:jc w:val="center"/>
              <w:rPr>
                <w:rFonts w:hint="eastAsia" w:ascii="宋体" w:hAnsi="宋体" w:cs="宋体"/>
                <w:color w:val="auto"/>
                <w:sz w:val="24"/>
                <w:szCs w:val="24"/>
                <w:highlight w:val="none"/>
              </w:rPr>
            </w:pPr>
          </w:p>
        </w:tc>
      </w:tr>
      <w:tr w14:paraId="3839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tcBorders>
              <w:top w:val="single" w:color="auto" w:sz="4" w:space="0"/>
              <w:left w:val="single" w:color="auto" w:sz="4" w:space="0"/>
              <w:bottom w:val="single" w:color="auto" w:sz="4" w:space="0"/>
              <w:right w:val="single" w:color="auto" w:sz="4" w:space="0"/>
            </w:tcBorders>
            <w:vAlign w:val="center"/>
          </w:tcPr>
          <w:p w14:paraId="06BA8061">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3031" w:type="dxa"/>
            <w:tcBorders>
              <w:top w:val="single" w:color="auto" w:sz="4" w:space="0"/>
              <w:left w:val="single" w:color="auto" w:sz="4" w:space="0"/>
              <w:bottom w:val="single" w:color="auto" w:sz="4" w:space="0"/>
              <w:right w:val="single" w:color="auto" w:sz="4" w:space="0"/>
            </w:tcBorders>
            <w:vAlign w:val="center"/>
          </w:tcPr>
          <w:p w14:paraId="74EEA45A">
            <w:pPr>
              <w:spacing w:line="440" w:lineRule="exact"/>
              <w:jc w:val="center"/>
              <w:rPr>
                <w:rFonts w:hint="eastAsia" w:ascii="宋体" w:hAnsi="宋体" w:cs="宋体"/>
                <w:color w:val="auto"/>
                <w:sz w:val="24"/>
                <w:szCs w:val="24"/>
                <w:highlight w:val="none"/>
              </w:rPr>
            </w:pPr>
          </w:p>
        </w:tc>
        <w:tc>
          <w:tcPr>
            <w:tcW w:w="2755" w:type="dxa"/>
            <w:tcBorders>
              <w:top w:val="single" w:color="auto" w:sz="4" w:space="0"/>
              <w:left w:val="single" w:color="auto" w:sz="4" w:space="0"/>
              <w:bottom w:val="single" w:color="auto" w:sz="4" w:space="0"/>
              <w:right w:val="single" w:color="auto" w:sz="4" w:space="0"/>
            </w:tcBorders>
            <w:vAlign w:val="center"/>
          </w:tcPr>
          <w:p w14:paraId="2F5863E9">
            <w:pPr>
              <w:spacing w:line="440" w:lineRule="exact"/>
              <w:jc w:val="center"/>
              <w:rPr>
                <w:rFonts w:hint="eastAsia" w:ascii="宋体" w:hAnsi="宋体" w:cs="宋体"/>
                <w:color w:val="auto"/>
                <w:sz w:val="24"/>
                <w:szCs w:val="24"/>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5ABAADEC">
            <w:pPr>
              <w:spacing w:line="440" w:lineRule="exact"/>
              <w:jc w:val="center"/>
              <w:rPr>
                <w:rFonts w:hint="eastAsia" w:ascii="宋体" w:hAnsi="宋体" w:cs="宋体"/>
                <w:color w:val="auto"/>
                <w:sz w:val="24"/>
                <w:szCs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6DE2EE9E">
            <w:pPr>
              <w:spacing w:line="440" w:lineRule="exact"/>
              <w:jc w:val="center"/>
              <w:rPr>
                <w:rFonts w:hint="eastAsia" w:ascii="宋体" w:hAnsi="宋体" w:cs="宋体"/>
                <w:color w:val="auto"/>
                <w:sz w:val="24"/>
                <w:szCs w:val="24"/>
                <w:highlight w:val="none"/>
              </w:rPr>
            </w:pPr>
          </w:p>
        </w:tc>
      </w:tr>
      <w:tr w14:paraId="735B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tcBorders>
              <w:top w:val="single" w:color="auto" w:sz="4" w:space="0"/>
              <w:left w:val="single" w:color="auto" w:sz="4" w:space="0"/>
              <w:bottom w:val="single" w:color="auto" w:sz="4" w:space="0"/>
              <w:right w:val="single" w:color="auto" w:sz="4" w:space="0"/>
            </w:tcBorders>
            <w:vAlign w:val="center"/>
          </w:tcPr>
          <w:p w14:paraId="1DD6AFA8">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3031" w:type="dxa"/>
            <w:tcBorders>
              <w:top w:val="single" w:color="auto" w:sz="4" w:space="0"/>
              <w:left w:val="single" w:color="auto" w:sz="4" w:space="0"/>
              <w:bottom w:val="single" w:color="auto" w:sz="4" w:space="0"/>
              <w:right w:val="single" w:color="auto" w:sz="4" w:space="0"/>
            </w:tcBorders>
            <w:vAlign w:val="center"/>
          </w:tcPr>
          <w:p w14:paraId="3B3B148B">
            <w:pPr>
              <w:spacing w:line="440" w:lineRule="exact"/>
              <w:jc w:val="center"/>
              <w:rPr>
                <w:rFonts w:hint="eastAsia" w:ascii="宋体" w:hAnsi="宋体" w:cs="宋体"/>
                <w:color w:val="auto"/>
                <w:sz w:val="24"/>
                <w:szCs w:val="24"/>
                <w:highlight w:val="none"/>
              </w:rPr>
            </w:pPr>
          </w:p>
        </w:tc>
        <w:tc>
          <w:tcPr>
            <w:tcW w:w="2755" w:type="dxa"/>
            <w:tcBorders>
              <w:top w:val="single" w:color="auto" w:sz="4" w:space="0"/>
              <w:left w:val="single" w:color="auto" w:sz="4" w:space="0"/>
              <w:bottom w:val="single" w:color="auto" w:sz="4" w:space="0"/>
              <w:right w:val="single" w:color="auto" w:sz="4" w:space="0"/>
            </w:tcBorders>
            <w:vAlign w:val="center"/>
          </w:tcPr>
          <w:p w14:paraId="2BFA9E1D">
            <w:pPr>
              <w:spacing w:line="440" w:lineRule="exact"/>
              <w:jc w:val="center"/>
              <w:rPr>
                <w:rFonts w:hint="eastAsia" w:ascii="宋体" w:hAnsi="宋体" w:cs="宋体"/>
                <w:color w:val="auto"/>
                <w:sz w:val="24"/>
                <w:szCs w:val="24"/>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799DC924">
            <w:pPr>
              <w:spacing w:line="440" w:lineRule="exact"/>
              <w:jc w:val="center"/>
              <w:rPr>
                <w:rFonts w:hint="eastAsia" w:ascii="宋体" w:hAnsi="宋体" w:cs="宋体"/>
                <w:color w:val="auto"/>
                <w:sz w:val="24"/>
                <w:szCs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41F6A5AF">
            <w:pPr>
              <w:spacing w:line="440" w:lineRule="exact"/>
              <w:jc w:val="center"/>
              <w:rPr>
                <w:rFonts w:hint="eastAsia" w:ascii="宋体" w:hAnsi="宋体" w:cs="宋体"/>
                <w:color w:val="auto"/>
                <w:sz w:val="24"/>
                <w:szCs w:val="24"/>
                <w:highlight w:val="none"/>
              </w:rPr>
            </w:pPr>
          </w:p>
        </w:tc>
      </w:tr>
      <w:tr w14:paraId="1E03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tcBorders>
              <w:top w:val="single" w:color="auto" w:sz="4" w:space="0"/>
              <w:left w:val="single" w:color="auto" w:sz="4" w:space="0"/>
              <w:bottom w:val="single" w:color="auto" w:sz="4" w:space="0"/>
              <w:right w:val="single" w:color="auto" w:sz="4" w:space="0"/>
            </w:tcBorders>
            <w:vAlign w:val="center"/>
          </w:tcPr>
          <w:p w14:paraId="32E98A9A">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3031" w:type="dxa"/>
            <w:tcBorders>
              <w:top w:val="single" w:color="auto" w:sz="4" w:space="0"/>
              <w:left w:val="single" w:color="auto" w:sz="4" w:space="0"/>
              <w:bottom w:val="single" w:color="auto" w:sz="4" w:space="0"/>
              <w:right w:val="single" w:color="auto" w:sz="4" w:space="0"/>
            </w:tcBorders>
            <w:vAlign w:val="center"/>
          </w:tcPr>
          <w:p w14:paraId="48F82015">
            <w:pPr>
              <w:spacing w:line="440" w:lineRule="exact"/>
              <w:jc w:val="center"/>
              <w:rPr>
                <w:rFonts w:hint="eastAsia" w:ascii="宋体" w:hAnsi="宋体" w:cs="宋体"/>
                <w:color w:val="auto"/>
                <w:sz w:val="24"/>
                <w:szCs w:val="24"/>
                <w:highlight w:val="none"/>
              </w:rPr>
            </w:pPr>
          </w:p>
        </w:tc>
        <w:tc>
          <w:tcPr>
            <w:tcW w:w="2755" w:type="dxa"/>
            <w:tcBorders>
              <w:top w:val="single" w:color="auto" w:sz="4" w:space="0"/>
              <w:left w:val="single" w:color="auto" w:sz="4" w:space="0"/>
              <w:bottom w:val="single" w:color="auto" w:sz="4" w:space="0"/>
              <w:right w:val="single" w:color="auto" w:sz="4" w:space="0"/>
            </w:tcBorders>
            <w:vAlign w:val="center"/>
          </w:tcPr>
          <w:p w14:paraId="0DADB7D9">
            <w:pPr>
              <w:spacing w:line="440" w:lineRule="exact"/>
              <w:jc w:val="center"/>
              <w:rPr>
                <w:rFonts w:hint="eastAsia" w:ascii="宋体" w:hAnsi="宋体" w:cs="宋体"/>
                <w:color w:val="auto"/>
                <w:sz w:val="24"/>
                <w:szCs w:val="24"/>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37F02283">
            <w:pPr>
              <w:spacing w:line="440" w:lineRule="exact"/>
              <w:jc w:val="center"/>
              <w:rPr>
                <w:rFonts w:hint="eastAsia" w:ascii="宋体" w:hAnsi="宋体" w:cs="宋体"/>
                <w:color w:val="auto"/>
                <w:sz w:val="24"/>
                <w:szCs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314BF9DC">
            <w:pPr>
              <w:spacing w:line="440" w:lineRule="exact"/>
              <w:jc w:val="center"/>
              <w:rPr>
                <w:rFonts w:hint="eastAsia" w:ascii="宋体" w:hAnsi="宋体" w:cs="宋体"/>
                <w:color w:val="auto"/>
                <w:sz w:val="24"/>
                <w:szCs w:val="24"/>
                <w:highlight w:val="none"/>
              </w:rPr>
            </w:pPr>
          </w:p>
        </w:tc>
      </w:tr>
      <w:tr w14:paraId="0106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tcBorders>
              <w:top w:val="single" w:color="auto" w:sz="4" w:space="0"/>
              <w:left w:val="single" w:color="auto" w:sz="4" w:space="0"/>
              <w:bottom w:val="single" w:color="auto" w:sz="4" w:space="0"/>
              <w:right w:val="single" w:color="auto" w:sz="4" w:space="0"/>
            </w:tcBorders>
            <w:vAlign w:val="center"/>
          </w:tcPr>
          <w:p w14:paraId="52B4ADCE">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3031" w:type="dxa"/>
            <w:tcBorders>
              <w:top w:val="single" w:color="auto" w:sz="4" w:space="0"/>
              <w:left w:val="single" w:color="auto" w:sz="4" w:space="0"/>
              <w:bottom w:val="single" w:color="auto" w:sz="4" w:space="0"/>
              <w:right w:val="single" w:color="auto" w:sz="4" w:space="0"/>
            </w:tcBorders>
            <w:vAlign w:val="center"/>
          </w:tcPr>
          <w:p w14:paraId="612E1D58">
            <w:pPr>
              <w:spacing w:line="440" w:lineRule="exact"/>
              <w:jc w:val="center"/>
              <w:rPr>
                <w:rFonts w:hint="eastAsia" w:ascii="宋体" w:hAnsi="宋体" w:cs="宋体"/>
                <w:color w:val="auto"/>
                <w:sz w:val="24"/>
                <w:szCs w:val="24"/>
                <w:highlight w:val="none"/>
              </w:rPr>
            </w:pPr>
          </w:p>
        </w:tc>
        <w:tc>
          <w:tcPr>
            <w:tcW w:w="2755" w:type="dxa"/>
            <w:tcBorders>
              <w:top w:val="single" w:color="auto" w:sz="4" w:space="0"/>
              <w:left w:val="single" w:color="auto" w:sz="4" w:space="0"/>
              <w:bottom w:val="single" w:color="auto" w:sz="4" w:space="0"/>
              <w:right w:val="single" w:color="auto" w:sz="4" w:space="0"/>
            </w:tcBorders>
            <w:vAlign w:val="center"/>
          </w:tcPr>
          <w:p w14:paraId="61976E30">
            <w:pPr>
              <w:spacing w:line="440" w:lineRule="exact"/>
              <w:jc w:val="center"/>
              <w:rPr>
                <w:rFonts w:hint="eastAsia" w:ascii="宋体" w:hAnsi="宋体" w:cs="宋体"/>
                <w:color w:val="auto"/>
                <w:sz w:val="24"/>
                <w:szCs w:val="24"/>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17DB2061">
            <w:pPr>
              <w:spacing w:line="440" w:lineRule="exact"/>
              <w:jc w:val="center"/>
              <w:rPr>
                <w:rFonts w:hint="eastAsia" w:ascii="宋体" w:hAnsi="宋体" w:cs="宋体"/>
                <w:color w:val="auto"/>
                <w:sz w:val="24"/>
                <w:szCs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72F9891E">
            <w:pPr>
              <w:spacing w:line="440" w:lineRule="exact"/>
              <w:jc w:val="center"/>
              <w:rPr>
                <w:rFonts w:hint="eastAsia" w:ascii="宋体" w:hAnsi="宋体" w:cs="宋体"/>
                <w:color w:val="auto"/>
                <w:sz w:val="24"/>
                <w:szCs w:val="24"/>
                <w:highlight w:val="none"/>
              </w:rPr>
            </w:pPr>
          </w:p>
        </w:tc>
      </w:tr>
      <w:tr w14:paraId="06E41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tcBorders>
              <w:top w:val="single" w:color="auto" w:sz="4" w:space="0"/>
              <w:left w:val="single" w:color="auto" w:sz="4" w:space="0"/>
              <w:bottom w:val="single" w:color="auto" w:sz="4" w:space="0"/>
              <w:right w:val="single" w:color="auto" w:sz="4" w:space="0"/>
            </w:tcBorders>
            <w:vAlign w:val="center"/>
          </w:tcPr>
          <w:p w14:paraId="5618EA1E">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3031" w:type="dxa"/>
            <w:tcBorders>
              <w:top w:val="single" w:color="auto" w:sz="4" w:space="0"/>
              <w:left w:val="single" w:color="auto" w:sz="4" w:space="0"/>
              <w:bottom w:val="single" w:color="auto" w:sz="4" w:space="0"/>
              <w:right w:val="single" w:color="auto" w:sz="4" w:space="0"/>
            </w:tcBorders>
            <w:vAlign w:val="center"/>
          </w:tcPr>
          <w:p w14:paraId="55886585">
            <w:pPr>
              <w:spacing w:line="440" w:lineRule="exact"/>
              <w:jc w:val="center"/>
              <w:rPr>
                <w:rFonts w:hint="eastAsia" w:ascii="宋体" w:hAnsi="宋体" w:cs="宋体"/>
                <w:color w:val="auto"/>
                <w:sz w:val="24"/>
                <w:szCs w:val="24"/>
                <w:highlight w:val="none"/>
              </w:rPr>
            </w:pPr>
          </w:p>
        </w:tc>
        <w:tc>
          <w:tcPr>
            <w:tcW w:w="2755" w:type="dxa"/>
            <w:tcBorders>
              <w:top w:val="single" w:color="auto" w:sz="4" w:space="0"/>
              <w:left w:val="single" w:color="auto" w:sz="4" w:space="0"/>
              <w:bottom w:val="single" w:color="auto" w:sz="4" w:space="0"/>
              <w:right w:val="single" w:color="auto" w:sz="4" w:space="0"/>
            </w:tcBorders>
            <w:vAlign w:val="center"/>
          </w:tcPr>
          <w:p w14:paraId="298B912A">
            <w:pPr>
              <w:spacing w:line="440" w:lineRule="exact"/>
              <w:jc w:val="center"/>
              <w:rPr>
                <w:rFonts w:hint="eastAsia" w:ascii="宋体" w:hAnsi="宋体" w:cs="宋体"/>
                <w:color w:val="auto"/>
                <w:sz w:val="24"/>
                <w:szCs w:val="24"/>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210CF811">
            <w:pPr>
              <w:spacing w:line="440" w:lineRule="exact"/>
              <w:jc w:val="center"/>
              <w:rPr>
                <w:rFonts w:hint="eastAsia" w:ascii="宋体" w:hAnsi="宋体" w:cs="宋体"/>
                <w:color w:val="auto"/>
                <w:sz w:val="24"/>
                <w:szCs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2AFAB00B">
            <w:pPr>
              <w:spacing w:line="440" w:lineRule="exact"/>
              <w:jc w:val="center"/>
              <w:rPr>
                <w:rFonts w:hint="eastAsia" w:ascii="宋体" w:hAnsi="宋体" w:cs="宋体"/>
                <w:color w:val="auto"/>
                <w:sz w:val="24"/>
                <w:szCs w:val="24"/>
                <w:highlight w:val="none"/>
              </w:rPr>
            </w:pPr>
          </w:p>
        </w:tc>
      </w:tr>
    </w:tbl>
    <w:p w14:paraId="791048B2">
      <w:pPr>
        <w:spacing w:after="0" w:line="440" w:lineRule="exact"/>
        <w:ind w:left="617" w:hanging="616" w:hangingChars="257"/>
        <w:rPr>
          <w:rFonts w:hint="eastAsia" w:ascii="宋体" w:hAnsi="宋体" w:cs="宋体"/>
          <w:color w:val="auto"/>
          <w:sz w:val="24"/>
          <w:szCs w:val="24"/>
          <w:highlight w:val="none"/>
        </w:rPr>
      </w:pPr>
      <w:r>
        <w:rPr>
          <w:rFonts w:hint="eastAsia" w:ascii="宋体" w:hAnsi="宋体" w:cs="宋体"/>
          <w:color w:val="auto"/>
          <w:sz w:val="24"/>
          <w:szCs w:val="24"/>
          <w:highlight w:val="none"/>
        </w:rPr>
        <w:t>说明：供应商应对照采购文件第三章采购需求中条款逐项说明是否满足，并注明证明材料对应页码。如有偏离应详细说明。特别对有具体参数要求的指标，供应商必须提供相应具体数值，未按照要求填写此表或仅注明“符合”、“满足”的，导致的后果由供应商自行承担。</w:t>
      </w:r>
    </w:p>
    <w:p w14:paraId="049FF01C">
      <w:pPr>
        <w:spacing w:before="100" w:beforeAutospacing="1" w:after="100" w:afterAutospacing="1" w:line="440" w:lineRule="exact"/>
        <w:ind w:firstLine="3316" w:firstLineChars="1382"/>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供应商名称（公章）：</w:t>
      </w:r>
      <w:r>
        <w:rPr>
          <w:rFonts w:hint="eastAsia" w:ascii="宋体" w:hAnsi="宋体" w:cs="宋体"/>
          <w:bCs/>
          <w:color w:val="auto"/>
          <w:sz w:val="24"/>
          <w:szCs w:val="24"/>
          <w:highlight w:val="none"/>
          <w:u w:val="single"/>
        </w:rPr>
        <w:t xml:space="preserve">                          </w:t>
      </w:r>
    </w:p>
    <w:p w14:paraId="705D0D2D">
      <w:pPr>
        <w:jc w:val="both"/>
        <w:rPr>
          <w:rFonts w:ascii="黑体" w:hAnsi="黑体" w:eastAsia="黑体"/>
          <w:b/>
          <w:color w:val="auto"/>
          <w:szCs w:val="21"/>
          <w:highlight w:val="none"/>
        </w:rPr>
      </w:pPr>
      <w:r>
        <w:rPr>
          <w:rFonts w:hint="eastAsia"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lang w:val="zh-CN"/>
        </w:rPr>
        <w:t>日期</w:t>
      </w:r>
      <w:r>
        <w:rPr>
          <w:rFonts w:hint="eastAsia" w:ascii="宋体" w:hAnsi="宋体" w:cs="宋体"/>
          <w:bCs/>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sectPr>
      <w:headerReference r:id="rId14" w:type="default"/>
      <w:footerReference r:id="rId15" w:type="default"/>
      <w:pgSz w:w="11906" w:h="16838"/>
      <w:pgMar w:top="1134" w:right="1191" w:bottom="1134" w:left="1191" w:header="851" w:footer="0"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Helvetica">
    <w:panose1 w:val="020B0504020202030204"/>
    <w:charset w:val="00"/>
    <w:family w:val="swiss"/>
    <w:pitch w:val="default"/>
    <w:sig w:usb0="00000007" w:usb1="00000000" w:usb2="00000000" w:usb3="00000000" w:csb0="00000093" w:csb1="00000000"/>
  </w:font>
  <w:font w:name="仿宋_GB2312">
    <w:altName w:val="仿宋"/>
    <w:panose1 w:val="00000000000000000000"/>
    <w:charset w:val="86"/>
    <w:family w:val="modern"/>
    <w:pitch w:val="default"/>
    <w:sig w:usb0="00000000" w:usb1="00000000" w:usb2="00000010" w:usb3="00000000" w:csb0="00040000" w:csb1="00000000"/>
  </w:font>
  <w:font w:name="Corbel">
    <w:panose1 w:val="020B0503020204020204"/>
    <w:charset w:val="00"/>
    <w:family w:val="swiss"/>
    <w:pitch w:val="default"/>
    <w:sig w:usb0="A00002EF" w:usb1="4000A44B"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2207894"/>
      <w:docPartObj>
        <w:docPartGallery w:val="autotext"/>
      </w:docPartObj>
    </w:sdtPr>
    <w:sdtContent>
      <w:p w14:paraId="47C7B6EA">
        <w:pPr>
          <w:pStyle w:val="24"/>
          <w:jc w:val="center"/>
        </w:pPr>
        <w:r>
          <w:fldChar w:fldCharType="begin"/>
        </w:r>
        <w:r>
          <w:instrText xml:space="preserve">PAGE   \* MERGEFORMAT</w:instrText>
        </w:r>
        <w:r>
          <w:fldChar w:fldCharType="separate"/>
        </w:r>
        <w:r>
          <w:rPr>
            <w:lang w:val="zh-CN"/>
          </w:rPr>
          <w:t>32</w:t>
        </w:r>
        <w:r>
          <w:fldChar w:fldCharType="end"/>
        </w:r>
      </w:p>
    </w:sdtContent>
  </w:sdt>
  <w:p w14:paraId="53C1137C">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270BB">
    <w:pPr>
      <w:pStyle w:val="24"/>
      <w:jc w:val="center"/>
    </w:pPr>
  </w:p>
  <w:p w14:paraId="130B6CA2">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4647791"/>
      <w:docPartObj>
        <w:docPartGallery w:val="autotext"/>
      </w:docPartObj>
    </w:sdtPr>
    <w:sdtContent>
      <w:p w14:paraId="6EC79E9C">
        <w:pPr>
          <w:pStyle w:val="24"/>
          <w:jc w:val="center"/>
        </w:pPr>
        <w:r>
          <w:fldChar w:fldCharType="begin"/>
        </w:r>
        <w:r>
          <w:instrText xml:space="preserve">PAGE   \* MERGEFORMAT</w:instrText>
        </w:r>
        <w:r>
          <w:fldChar w:fldCharType="separate"/>
        </w:r>
        <w:r>
          <w:rPr>
            <w:lang w:val="zh-CN"/>
          </w:rPr>
          <w:t>1</w:t>
        </w:r>
        <w:r>
          <w:fldChar w:fldCharType="end"/>
        </w:r>
      </w:p>
    </w:sdtContent>
  </w:sdt>
  <w:p w14:paraId="7B1CCB5E">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D3C91">
    <w:pPr>
      <w:pStyle w:val="2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C97AB">
    <w:pPr>
      <w:pStyle w:val="2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2048F">
    <w:pPr>
      <w:pStyle w:val="2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A42A9">
    <w:pPr>
      <w:pStyle w:val="24"/>
      <w:spacing w:before="120" w:beforeLines="50"/>
      <w:jc w:val="center"/>
    </w:pPr>
    <w:r>
      <w:fldChar w:fldCharType="begin"/>
    </w:r>
    <w:r>
      <w:instrText xml:space="preserve">PAGE   \* MERGEFORMAT</w:instrText>
    </w:r>
    <w:r>
      <w:fldChar w:fldCharType="separate"/>
    </w:r>
    <w:r>
      <w:rPr>
        <w:lang w:val="zh-CN"/>
      </w:rPr>
      <w:t>20</w:t>
    </w:r>
    <w:r>
      <w:fldChar w:fldCharType="end"/>
    </w:r>
  </w:p>
  <w:p w14:paraId="7A8BFC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BFFCF">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3C422">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0CC9E">
    <w:pPr>
      <w:pStyle w:val="2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53CF3">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B08F6"/>
    <w:multiLevelType w:val="multilevel"/>
    <w:tmpl w:val="8BBB08F6"/>
    <w:lvl w:ilvl="0" w:tentative="0">
      <w:start w:val="1"/>
      <w:numFmt w:val="decimal"/>
      <w:suff w:val="nothing"/>
      <w:lvlText w:val="%1"/>
      <w:lvlJc w:val="center"/>
      <w:pPr>
        <w:ind w:left="857" w:hanging="647"/>
      </w:pPr>
      <w:rPr>
        <w:rFonts w:hint="default" w:ascii="宋体" w:hAnsi="宋体" w:eastAsia="宋体" w:cs="宋体"/>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317788"/>
    <w:multiLevelType w:val="multilevel"/>
    <w:tmpl w:val="00317788"/>
    <w:lvl w:ilvl="0" w:tentative="0">
      <w:start w:val="1"/>
      <w:numFmt w:val="decimal"/>
      <w:lvlText w:val="2.%1"/>
      <w:lvlJc w:val="left"/>
      <w:pPr>
        <w:ind w:left="3681" w:hanging="420"/>
      </w:pPr>
      <w:rPr>
        <w:rFonts w:hint="eastAsia"/>
        <w:b w:val="0"/>
        <w:strike w:val="0"/>
        <w:dstrike w:val="0"/>
        <w:color w:val="auto"/>
        <w:u w:val="none"/>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
    <w:nsid w:val="01147E4D"/>
    <w:multiLevelType w:val="multilevel"/>
    <w:tmpl w:val="01147E4D"/>
    <w:lvl w:ilvl="0" w:tentative="0">
      <w:start w:val="1"/>
      <w:numFmt w:val="decimal"/>
      <w:lvlText w:val="%1)"/>
      <w:lvlJc w:val="left"/>
      <w:pPr>
        <w:tabs>
          <w:tab w:val="left" w:pos="540"/>
        </w:tabs>
        <w:ind w:left="540" w:hanging="360"/>
      </w:pPr>
      <w:rPr>
        <w:rFonts w:hint="default"/>
        <w:b w:val="0"/>
      </w:rPr>
    </w:lvl>
    <w:lvl w:ilvl="1" w:tentative="0">
      <w:start w:val="1"/>
      <w:numFmt w:val="decimal"/>
      <w:lvlText w:val="（%2）"/>
      <w:lvlJc w:val="left"/>
      <w:pPr>
        <w:tabs>
          <w:tab w:val="left" w:pos="1094"/>
        </w:tabs>
        <w:ind w:left="1094" w:hanging="674"/>
      </w:pPr>
      <w:rPr>
        <w:rFonts w:hint="default" w:cs="Times New Roman"/>
      </w:rPr>
    </w:lvl>
    <w:lvl w:ilvl="2" w:tentative="0">
      <w:start w:val="1"/>
      <w:numFmt w:val="lowerLetter"/>
      <w:lvlText w:val="%3）"/>
      <w:lvlJc w:val="left"/>
      <w:pPr>
        <w:tabs>
          <w:tab w:val="left" w:pos="1620"/>
        </w:tabs>
        <w:ind w:left="1620" w:hanging="360"/>
      </w:pPr>
      <w:rPr>
        <w:rFonts w:hint="default" w:cs="Times New Roman"/>
        <w:b w:val="0"/>
      </w:rPr>
    </w:lvl>
    <w:lvl w:ilvl="3" w:tentative="0">
      <w:start w:val="1"/>
      <w:numFmt w:val="decimal"/>
      <w:lvlText w:val="%4）"/>
      <w:lvlJc w:val="left"/>
      <w:pPr>
        <w:tabs>
          <w:tab w:val="left" w:pos="2040"/>
        </w:tabs>
        <w:ind w:left="2040" w:hanging="360"/>
      </w:pPr>
      <w:rPr>
        <w:rFonts w:hint="default" w:cs="Times New Roman"/>
      </w:rPr>
    </w:lvl>
    <w:lvl w:ilvl="4" w:tentative="0">
      <w:start w:val="1"/>
      <w:numFmt w:val="decimal"/>
      <w:lvlText w:val="%5)"/>
      <w:lvlJc w:val="left"/>
      <w:pPr>
        <w:tabs>
          <w:tab w:val="left" w:pos="540"/>
        </w:tabs>
        <w:ind w:left="540" w:hanging="360"/>
      </w:pPr>
      <w:rPr>
        <w:rFonts w:hint="default"/>
        <w:b w:val="0"/>
        <w:sz w:val="21"/>
        <w:szCs w:val="24"/>
      </w:rPr>
    </w:lvl>
    <w:lvl w:ilvl="5" w:tentative="0">
      <w:start w:val="1"/>
      <w:numFmt w:val="lowerRoman"/>
      <w:lvlText w:val="%6."/>
      <w:lvlJc w:val="right"/>
      <w:pPr>
        <w:tabs>
          <w:tab w:val="left" w:pos="2940"/>
        </w:tabs>
        <w:ind w:left="2940" w:hanging="420"/>
      </w:pPr>
      <w:rPr>
        <w:rFonts w:hint="eastAsia" w:cs="Times New Roman"/>
      </w:rPr>
    </w:lvl>
    <w:lvl w:ilvl="6" w:tentative="0">
      <w:start w:val="1"/>
      <w:numFmt w:val="decimal"/>
      <w:lvlText w:val="%7."/>
      <w:lvlJc w:val="left"/>
      <w:pPr>
        <w:tabs>
          <w:tab w:val="left" w:pos="3360"/>
        </w:tabs>
        <w:ind w:left="3360" w:hanging="420"/>
      </w:pPr>
      <w:rPr>
        <w:rFonts w:hint="eastAsia" w:cs="Times New Roman"/>
      </w:rPr>
    </w:lvl>
    <w:lvl w:ilvl="7" w:tentative="0">
      <w:start w:val="1"/>
      <w:numFmt w:val="lowerLetter"/>
      <w:lvlText w:val="%8)"/>
      <w:lvlJc w:val="left"/>
      <w:pPr>
        <w:tabs>
          <w:tab w:val="left" w:pos="3780"/>
        </w:tabs>
        <w:ind w:left="3780" w:hanging="420"/>
      </w:pPr>
      <w:rPr>
        <w:rFonts w:hint="eastAsia" w:cs="Times New Roman"/>
      </w:rPr>
    </w:lvl>
    <w:lvl w:ilvl="8" w:tentative="0">
      <w:start w:val="1"/>
      <w:numFmt w:val="lowerRoman"/>
      <w:lvlText w:val="%9."/>
      <w:lvlJc w:val="right"/>
      <w:pPr>
        <w:tabs>
          <w:tab w:val="left" w:pos="4200"/>
        </w:tabs>
        <w:ind w:left="4200" w:hanging="420"/>
      </w:pPr>
      <w:rPr>
        <w:rFonts w:hint="eastAsia" w:cs="Times New Roman"/>
      </w:rPr>
    </w:lvl>
  </w:abstractNum>
  <w:abstractNum w:abstractNumId="3">
    <w:nsid w:val="01BC443A"/>
    <w:multiLevelType w:val="multilevel"/>
    <w:tmpl w:val="01BC443A"/>
    <w:lvl w:ilvl="0" w:tentative="0">
      <w:start w:val="1"/>
      <w:numFmt w:val="chineseCountingThousand"/>
      <w:lvlText w:val="%1、"/>
      <w:lvlJc w:val="left"/>
      <w:pPr>
        <w:ind w:left="420" w:hanging="420"/>
      </w:pPr>
      <w:rPr>
        <w:rFonts w:hint="default" w:ascii="宋体" w:hAnsi="宋体" w:eastAsia="宋体"/>
        <w:b/>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25A6A58"/>
    <w:multiLevelType w:val="multilevel"/>
    <w:tmpl w:val="025A6A58"/>
    <w:lvl w:ilvl="0" w:tentative="0">
      <w:start w:val="1"/>
      <w:numFmt w:val="decimal"/>
      <w:lvlText w:val="%1)"/>
      <w:lvlJc w:val="left"/>
      <w:pPr>
        <w:tabs>
          <w:tab w:val="left" w:pos="720"/>
        </w:tabs>
        <w:ind w:left="720" w:hanging="360"/>
      </w:pPr>
      <w:rPr>
        <w:rFonts w:hint="default" w:ascii="宋体" w:hAnsi="宋体" w:eastAsia="宋体" w:cs="Times New Roman"/>
        <w:sz w:val="21"/>
        <w:szCs w:val="24"/>
      </w:rPr>
    </w:lvl>
    <w:lvl w:ilvl="1" w:tentative="0">
      <w:start w:val="1"/>
      <w:numFmt w:val="japaneseCounting"/>
      <w:lvlText w:val="%2、"/>
      <w:lvlJc w:val="left"/>
      <w:pPr>
        <w:tabs>
          <w:tab w:val="left" w:pos="720"/>
        </w:tabs>
        <w:ind w:left="720" w:hanging="465"/>
      </w:pPr>
      <w:rPr>
        <w:rFonts w:hint="default" w:cs="黑体"/>
      </w:rPr>
    </w:lvl>
    <w:lvl w:ilvl="2" w:tentative="0">
      <w:start w:val="1"/>
      <w:numFmt w:val="decimal"/>
      <w:lvlText w:val="%3)"/>
      <w:lvlJc w:val="left"/>
      <w:pPr>
        <w:tabs>
          <w:tab w:val="left" w:pos="915"/>
        </w:tabs>
        <w:ind w:left="915" w:hanging="240"/>
      </w:pPr>
      <w:rPr>
        <w:rFonts w:hint="default" w:cs="Times New Roman"/>
      </w:rPr>
    </w:lvl>
    <w:lvl w:ilvl="3" w:tentative="0">
      <w:start w:val="1"/>
      <w:numFmt w:val="decimal"/>
      <w:lvlText w:val="%4）"/>
      <w:lvlJc w:val="left"/>
      <w:pPr>
        <w:tabs>
          <w:tab w:val="left" w:pos="1455"/>
        </w:tabs>
        <w:ind w:left="1455" w:hanging="360"/>
      </w:pPr>
      <w:rPr>
        <w:rFonts w:hint="default" w:cs="Times New Roman"/>
      </w:rPr>
    </w:lvl>
    <w:lvl w:ilvl="4" w:tentative="0">
      <w:start w:val="4"/>
      <w:numFmt w:val="decimal"/>
      <w:lvlText w:val="%5．"/>
      <w:lvlJc w:val="left"/>
      <w:pPr>
        <w:tabs>
          <w:tab w:val="left" w:pos="1875"/>
        </w:tabs>
        <w:ind w:left="1875" w:hanging="360"/>
      </w:pPr>
      <w:rPr>
        <w:rFonts w:hint="default" w:cs="Times New Roman"/>
      </w:rPr>
    </w:lvl>
    <w:lvl w:ilvl="5" w:tentative="0">
      <w:start w:val="1"/>
      <w:numFmt w:val="lowerRoman"/>
      <w:lvlText w:val="%6."/>
      <w:lvlJc w:val="right"/>
      <w:pPr>
        <w:tabs>
          <w:tab w:val="left" w:pos="2355"/>
        </w:tabs>
        <w:ind w:left="2355" w:hanging="420"/>
      </w:pPr>
      <w:rPr>
        <w:rFonts w:cs="Times New Roman"/>
      </w:rPr>
    </w:lvl>
    <w:lvl w:ilvl="6" w:tentative="0">
      <w:start w:val="1"/>
      <w:numFmt w:val="decimal"/>
      <w:lvlText w:val="%7."/>
      <w:lvlJc w:val="left"/>
      <w:pPr>
        <w:tabs>
          <w:tab w:val="left" w:pos="2775"/>
        </w:tabs>
        <w:ind w:left="2775" w:hanging="420"/>
      </w:pPr>
      <w:rPr>
        <w:rFonts w:cs="Times New Roman"/>
      </w:rPr>
    </w:lvl>
    <w:lvl w:ilvl="7" w:tentative="0">
      <w:start w:val="1"/>
      <w:numFmt w:val="lowerLetter"/>
      <w:lvlText w:val="%8)"/>
      <w:lvlJc w:val="left"/>
      <w:pPr>
        <w:tabs>
          <w:tab w:val="left" w:pos="3195"/>
        </w:tabs>
        <w:ind w:left="3195" w:hanging="420"/>
      </w:pPr>
      <w:rPr>
        <w:rFonts w:cs="Times New Roman"/>
      </w:rPr>
    </w:lvl>
    <w:lvl w:ilvl="8" w:tentative="0">
      <w:start w:val="1"/>
      <w:numFmt w:val="lowerRoman"/>
      <w:lvlText w:val="%9."/>
      <w:lvlJc w:val="right"/>
      <w:pPr>
        <w:tabs>
          <w:tab w:val="left" w:pos="3615"/>
        </w:tabs>
        <w:ind w:left="3615" w:hanging="420"/>
      </w:pPr>
      <w:rPr>
        <w:rFonts w:cs="Times New Roman"/>
      </w:rPr>
    </w:lvl>
  </w:abstractNum>
  <w:abstractNum w:abstractNumId="5">
    <w:nsid w:val="02E82417"/>
    <w:multiLevelType w:val="multilevel"/>
    <w:tmpl w:val="02E82417"/>
    <w:lvl w:ilvl="0" w:tentative="0">
      <w:start w:val="1"/>
      <w:numFmt w:val="decimal"/>
      <w:lvlText w:val="%1、"/>
      <w:lvlJc w:val="left"/>
      <w:pPr>
        <w:ind w:left="669" w:hanging="420"/>
      </w:pPr>
      <w:rPr>
        <w:rFonts w:hint="default" w:ascii="宋体" w:hAnsi="宋体" w:eastAsia="宋体" w:cs="宋体"/>
        <w:b w:val="0"/>
        <w:i w:val="0"/>
        <w:strike w:val="0"/>
        <w:dstrike w:val="0"/>
        <w:color w:val="000000"/>
        <w:sz w:val="24"/>
        <w:szCs w:val="24"/>
        <w:u w:val="none" w:color="000000"/>
        <w:vertAlign w:val="baseline"/>
      </w:rPr>
    </w:lvl>
    <w:lvl w:ilvl="1" w:tentative="0">
      <w:start w:val="1"/>
      <w:numFmt w:val="lowerLetter"/>
      <w:lvlText w:val="%2)"/>
      <w:lvlJc w:val="left"/>
      <w:pPr>
        <w:ind w:left="1089" w:hanging="420"/>
      </w:pPr>
    </w:lvl>
    <w:lvl w:ilvl="2" w:tentative="0">
      <w:start w:val="1"/>
      <w:numFmt w:val="lowerRoman"/>
      <w:lvlText w:val="%3."/>
      <w:lvlJc w:val="right"/>
      <w:pPr>
        <w:ind w:left="1509" w:hanging="420"/>
      </w:pPr>
    </w:lvl>
    <w:lvl w:ilvl="3" w:tentative="0">
      <w:start w:val="1"/>
      <w:numFmt w:val="decimal"/>
      <w:lvlText w:val="%4."/>
      <w:lvlJc w:val="left"/>
      <w:pPr>
        <w:ind w:left="1929" w:hanging="420"/>
      </w:pPr>
    </w:lvl>
    <w:lvl w:ilvl="4" w:tentative="0">
      <w:start w:val="1"/>
      <w:numFmt w:val="lowerLetter"/>
      <w:lvlText w:val="%5)"/>
      <w:lvlJc w:val="left"/>
      <w:pPr>
        <w:ind w:left="2349" w:hanging="420"/>
      </w:pPr>
    </w:lvl>
    <w:lvl w:ilvl="5" w:tentative="0">
      <w:start w:val="1"/>
      <w:numFmt w:val="lowerRoman"/>
      <w:lvlText w:val="%6."/>
      <w:lvlJc w:val="right"/>
      <w:pPr>
        <w:ind w:left="2769" w:hanging="420"/>
      </w:pPr>
    </w:lvl>
    <w:lvl w:ilvl="6" w:tentative="0">
      <w:start w:val="1"/>
      <w:numFmt w:val="decimal"/>
      <w:lvlText w:val="%7."/>
      <w:lvlJc w:val="left"/>
      <w:pPr>
        <w:ind w:left="3189" w:hanging="420"/>
      </w:pPr>
    </w:lvl>
    <w:lvl w:ilvl="7" w:tentative="0">
      <w:start w:val="1"/>
      <w:numFmt w:val="lowerLetter"/>
      <w:lvlText w:val="%8)"/>
      <w:lvlJc w:val="left"/>
      <w:pPr>
        <w:ind w:left="3609" w:hanging="420"/>
      </w:pPr>
    </w:lvl>
    <w:lvl w:ilvl="8" w:tentative="0">
      <w:start w:val="1"/>
      <w:numFmt w:val="lowerRoman"/>
      <w:lvlText w:val="%9."/>
      <w:lvlJc w:val="right"/>
      <w:pPr>
        <w:ind w:left="4029" w:hanging="420"/>
      </w:pPr>
    </w:lvl>
  </w:abstractNum>
  <w:abstractNum w:abstractNumId="6">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3FE64B3"/>
    <w:multiLevelType w:val="multilevel"/>
    <w:tmpl w:val="03FE64B3"/>
    <w:lvl w:ilvl="0" w:tentative="0">
      <w:start w:val="22"/>
      <w:numFmt w:val="decimal"/>
      <w:lvlText w:val="%1"/>
      <w:lvlJc w:val="left"/>
      <w:pPr>
        <w:tabs>
          <w:tab w:val="left" w:pos="480"/>
        </w:tabs>
        <w:ind w:left="480" w:hanging="480"/>
      </w:pPr>
      <w:rPr>
        <w:rFonts w:hint="default" w:cs="Times New Roman"/>
      </w:rPr>
    </w:lvl>
    <w:lvl w:ilvl="1" w:tentative="0">
      <w:start w:val="1"/>
      <w:numFmt w:val="decimal"/>
      <w:lvlText w:val="%2）"/>
      <w:lvlJc w:val="left"/>
      <w:pPr>
        <w:tabs>
          <w:tab w:val="left" w:pos="840"/>
        </w:tabs>
        <w:ind w:left="840" w:hanging="480"/>
      </w:pPr>
      <w:rPr>
        <w:rFonts w:hint="eastAsia"/>
        <w:b w:val="0"/>
        <w:i w:val="0"/>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8">
    <w:nsid w:val="05C21DF9"/>
    <w:multiLevelType w:val="multilevel"/>
    <w:tmpl w:val="05C21DF9"/>
    <w:lvl w:ilvl="0" w:tentative="0">
      <w:start w:val="1"/>
      <w:numFmt w:val="decimal"/>
      <w:lvlText w:val="%1)"/>
      <w:lvlJc w:val="left"/>
      <w:pPr>
        <w:tabs>
          <w:tab w:val="left" w:pos="720"/>
        </w:tabs>
        <w:ind w:left="720" w:hanging="360"/>
      </w:pPr>
      <w:rPr>
        <w:rFonts w:hint="default" w:ascii="宋体" w:hAnsi="宋体" w:eastAsia="宋体" w:cs="Times New Roman"/>
        <w:sz w:val="21"/>
        <w:szCs w:val="21"/>
      </w:rPr>
    </w:lvl>
    <w:lvl w:ilvl="1" w:tentative="0">
      <w:start w:val="1"/>
      <w:numFmt w:val="japaneseCounting"/>
      <w:lvlText w:val="%2、"/>
      <w:lvlJc w:val="left"/>
      <w:pPr>
        <w:tabs>
          <w:tab w:val="left" w:pos="720"/>
        </w:tabs>
        <w:ind w:left="720" w:hanging="465"/>
      </w:pPr>
      <w:rPr>
        <w:rFonts w:hint="default" w:cs="黑体"/>
      </w:rPr>
    </w:lvl>
    <w:lvl w:ilvl="2" w:tentative="0">
      <w:start w:val="1"/>
      <w:numFmt w:val="decimal"/>
      <w:lvlText w:val="%3)"/>
      <w:lvlJc w:val="left"/>
      <w:pPr>
        <w:tabs>
          <w:tab w:val="left" w:pos="915"/>
        </w:tabs>
        <w:ind w:left="915" w:hanging="240"/>
      </w:pPr>
      <w:rPr>
        <w:rFonts w:hint="default" w:cs="Times New Roman"/>
      </w:rPr>
    </w:lvl>
    <w:lvl w:ilvl="3" w:tentative="0">
      <w:start w:val="1"/>
      <w:numFmt w:val="decimal"/>
      <w:lvlText w:val="%4）"/>
      <w:lvlJc w:val="left"/>
      <w:pPr>
        <w:tabs>
          <w:tab w:val="left" w:pos="1455"/>
        </w:tabs>
        <w:ind w:left="1455" w:hanging="360"/>
      </w:pPr>
      <w:rPr>
        <w:rFonts w:hint="default" w:cs="Times New Roman"/>
      </w:rPr>
    </w:lvl>
    <w:lvl w:ilvl="4" w:tentative="0">
      <w:start w:val="4"/>
      <w:numFmt w:val="decimal"/>
      <w:lvlText w:val="%5．"/>
      <w:lvlJc w:val="left"/>
      <w:pPr>
        <w:tabs>
          <w:tab w:val="left" w:pos="1875"/>
        </w:tabs>
        <w:ind w:left="1875" w:hanging="360"/>
      </w:pPr>
      <w:rPr>
        <w:rFonts w:hint="default" w:cs="Times New Roman"/>
      </w:rPr>
    </w:lvl>
    <w:lvl w:ilvl="5" w:tentative="0">
      <w:start w:val="1"/>
      <w:numFmt w:val="lowerRoman"/>
      <w:lvlText w:val="%6."/>
      <w:lvlJc w:val="right"/>
      <w:pPr>
        <w:tabs>
          <w:tab w:val="left" w:pos="2355"/>
        </w:tabs>
        <w:ind w:left="2355" w:hanging="420"/>
      </w:pPr>
      <w:rPr>
        <w:rFonts w:cs="Times New Roman"/>
      </w:rPr>
    </w:lvl>
    <w:lvl w:ilvl="6" w:tentative="0">
      <w:start w:val="1"/>
      <w:numFmt w:val="decimal"/>
      <w:lvlText w:val="%7."/>
      <w:lvlJc w:val="left"/>
      <w:pPr>
        <w:tabs>
          <w:tab w:val="left" w:pos="2775"/>
        </w:tabs>
        <w:ind w:left="2775" w:hanging="420"/>
      </w:pPr>
      <w:rPr>
        <w:rFonts w:cs="Times New Roman"/>
      </w:rPr>
    </w:lvl>
    <w:lvl w:ilvl="7" w:tentative="0">
      <w:start w:val="1"/>
      <w:numFmt w:val="lowerLetter"/>
      <w:lvlText w:val="%8)"/>
      <w:lvlJc w:val="left"/>
      <w:pPr>
        <w:tabs>
          <w:tab w:val="left" w:pos="3195"/>
        </w:tabs>
        <w:ind w:left="3195" w:hanging="420"/>
      </w:pPr>
      <w:rPr>
        <w:rFonts w:cs="Times New Roman"/>
      </w:rPr>
    </w:lvl>
    <w:lvl w:ilvl="8" w:tentative="0">
      <w:start w:val="1"/>
      <w:numFmt w:val="lowerRoman"/>
      <w:lvlText w:val="%9."/>
      <w:lvlJc w:val="right"/>
      <w:pPr>
        <w:tabs>
          <w:tab w:val="left" w:pos="3615"/>
        </w:tabs>
        <w:ind w:left="3615" w:hanging="420"/>
      </w:pPr>
      <w:rPr>
        <w:rFonts w:cs="Times New Roman"/>
      </w:rPr>
    </w:lvl>
  </w:abstractNum>
  <w:abstractNum w:abstractNumId="9">
    <w:nsid w:val="073372D4"/>
    <w:multiLevelType w:val="multilevel"/>
    <w:tmpl w:val="073372D4"/>
    <w:lvl w:ilvl="0" w:tentative="0">
      <w:start w:val="1"/>
      <w:numFmt w:val="decimal"/>
      <w:lvlText w:val="4.%1"/>
      <w:lvlJc w:val="left"/>
      <w:pPr>
        <w:ind w:left="630" w:hanging="420"/>
      </w:pPr>
      <w:rPr>
        <w:rFonts w:hint="eastAsia"/>
        <w:sz w:val="21"/>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7B01617"/>
    <w:multiLevelType w:val="multilevel"/>
    <w:tmpl w:val="07B01617"/>
    <w:lvl w:ilvl="0" w:tentative="0">
      <w:start w:val="1"/>
      <w:numFmt w:val="decimal"/>
      <w:lvlText w:val="%1)"/>
      <w:lvlJc w:val="left"/>
      <w:pPr>
        <w:ind w:left="1102" w:hanging="420"/>
      </w:pPr>
    </w:lvl>
    <w:lvl w:ilvl="1" w:tentative="0">
      <w:start w:val="1"/>
      <w:numFmt w:val="lowerLetter"/>
      <w:lvlText w:val="%2)"/>
      <w:lvlJc w:val="left"/>
      <w:pPr>
        <w:ind w:left="1522" w:hanging="420"/>
      </w:pPr>
    </w:lvl>
    <w:lvl w:ilvl="2" w:tentative="0">
      <w:start w:val="1"/>
      <w:numFmt w:val="lowerRoman"/>
      <w:lvlText w:val="%3."/>
      <w:lvlJc w:val="right"/>
      <w:pPr>
        <w:ind w:left="1942" w:hanging="420"/>
      </w:pPr>
    </w:lvl>
    <w:lvl w:ilvl="3" w:tentative="0">
      <w:start w:val="1"/>
      <w:numFmt w:val="decimal"/>
      <w:lvlText w:val="%4."/>
      <w:lvlJc w:val="left"/>
      <w:pPr>
        <w:ind w:left="2362" w:hanging="420"/>
      </w:pPr>
    </w:lvl>
    <w:lvl w:ilvl="4" w:tentative="0">
      <w:start w:val="1"/>
      <w:numFmt w:val="lowerLetter"/>
      <w:lvlText w:val="%5)"/>
      <w:lvlJc w:val="left"/>
      <w:pPr>
        <w:ind w:left="2782" w:hanging="420"/>
      </w:pPr>
    </w:lvl>
    <w:lvl w:ilvl="5" w:tentative="0">
      <w:start w:val="1"/>
      <w:numFmt w:val="lowerRoman"/>
      <w:lvlText w:val="%6."/>
      <w:lvlJc w:val="right"/>
      <w:pPr>
        <w:ind w:left="3202" w:hanging="420"/>
      </w:pPr>
    </w:lvl>
    <w:lvl w:ilvl="6" w:tentative="0">
      <w:start w:val="1"/>
      <w:numFmt w:val="decimal"/>
      <w:lvlText w:val="%7."/>
      <w:lvlJc w:val="left"/>
      <w:pPr>
        <w:ind w:left="3622" w:hanging="420"/>
      </w:pPr>
    </w:lvl>
    <w:lvl w:ilvl="7" w:tentative="0">
      <w:start w:val="1"/>
      <w:numFmt w:val="lowerLetter"/>
      <w:lvlText w:val="%8)"/>
      <w:lvlJc w:val="left"/>
      <w:pPr>
        <w:ind w:left="4042" w:hanging="420"/>
      </w:pPr>
    </w:lvl>
    <w:lvl w:ilvl="8" w:tentative="0">
      <w:start w:val="1"/>
      <w:numFmt w:val="lowerRoman"/>
      <w:lvlText w:val="%9."/>
      <w:lvlJc w:val="right"/>
      <w:pPr>
        <w:ind w:left="4462" w:hanging="420"/>
      </w:pPr>
    </w:lvl>
  </w:abstractNum>
  <w:abstractNum w:abstractNumId="11">
    <w:nsid w:val="07DC220C"/>
    <w:multiLevelType w:val="multilevel"/>
    <w:tmpl w:val="07DC220C"/>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2">
    <w:nsid w:val="08501A98"/>
    <w:multiLevelType w:val="multilevel"/>
    <w:tmpl w:val="08501A98"/>
    <w:lvl w:ilvl="0" w:tentative="0">
      <w:start w:val="1"/>
      <w:numFmt w:val="decimal"/>
      <w:lvlText w:val="7.%1"/>
      <w:lvlJc w:val="left"/>
      <w:pPr>
        <w:ind w:left="630" w:hanging="420"/>
      </w:pPr>
      <w:rPr>
        <w:rFonts w:hint="eastAsia"/>
        <w:sz w:val="21"/>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92D2B91"/>
    <w:multiLevelType w:val="multilevel"/>
    <w:tmpl w:val="092D2B91"/>
    <w:lvl w:ilvl="0" w:tentative="0">
      <w:start w:val="1"/>
      <w:numFmt w:val="decimal"/>
      <w:lvlText w:val="3.%1"/>
      <w:lvlJc w:val="left"/>
      <w:pPr>
        <w:ind w:left="420" w:hanging="420"/>
      </w:pPr>
      <w:rPr>
        <w:rFonts w:hint="default" w:ascii="宋体" w:hAnsi="宋体" w:eastAsia="宋体"/>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A5A40D7"/>
    <w:multiLevelType w:val="multilevel"/>
    <w:tmpl w:val="0A5A40D7"/>
    <w:lvl w:ilvl="0" w:tentative="0">
      <w:start w:val="1"/>
      <w:numFmt w:val="decimal"/>
      <w:lvlText w:val="%1."/>
      <w:lvlJc w:val="left"/>
      <w:pPr>
        <w:ind w:left="910" w:hanging="420"/>
      </w:pPr>
      <w:rPr>
        <w:b w:val="0"/>
        <w:i w:val="0"/>
        <w:color w:val="auto"/>
      </w:rPr>
    </w:lvl>
    <w:lvl w:ilvl="1" w:tentative="0">
      <w:start w:val="1"/>
      <w:numFmt w:val="lowerLetter"/>
      <w:lvlText w:val="%2)"/>
      <w:lvlJc w:val="left"/>
      <w:pPr>
        <w:ind w:left="1330" w:hanging="420"/>
      </w:pPr>
    </w:lvl>
    <w:lvl w:ilvl="2" w:tentative="0">
      <w:start w:val="1"/>
      <w:numFmt w:val="lowerRoman"/>
      <w:lvlText w:val="%3."/>
      <w:lvlJc w:val="right"/>
      <w:pPr>
        <w:ind w:left="1750" w:hanging="420"/>
      </w:pPr>
    </w:lvl>
    <w:lvl w:ilvl="3" w:tentative="0">
      <w:start w:val="1"/>
      <w:numFmt w:val="decimal"/>
      <w:lvlText w:val="%4."/>
      <w:lvlJc w:val="left"/>
      <w:pPr>
        <w:ind w:left="2170" w:hanging="420"/>
      </w:pPr>
    </w:lvl>
    <w:lvl w:ilvl="4" w:tentative="0">
      <w:start w:val="1"/>
      <w:numFmt w:val="lowerLetter"/>
      <w:lvlText w:val="%5)"/>
      <w:lvlJc w:val="left"/>
      <w:pPr>
        <w:ind w:left="2590" w:hanging="420"/>
      </w:pPr>
    </w:lvl>
    <w:lvl w:ilvl="5" w:tentative="0">
      <w:start w:val="1"/>
      <w:numFmt w:val="lowerRoman"/>
      <w:lvlText w:val="%6."/>
      <w:lvlJc w:val="right"/>
      <w:pPr>
        <w:ind w:left="3010" w:hanging="420"/>
      </w:pPr>
    </w:lvl>
    <w:lvl w:ilvl="6" w:tentative="0">
      <w:start w:val="1"/>
      <w:numFmt w:val="decimal"/>
      <w:lvlText w:val="%7."/>
      <w:lvlJc w:val="left"/>
      <w:pPr>
        <w:ind w:left="3430" w:hanging="420"/>
      </w:pPr>
    </w:lvl>
    <w:lvl w:ilvl="7" w:tentative="0">
      <w:start w:val="1"/>
      <w:numFmt w:val="lowerLetter"/>
      <w:lvlText w:val="%8)"/>
      <w:lvlJc w:val="left"/>
      <w:pPr>
        <w:ind w:left="3850" w:hanging="420"/>
      </w:pPr>
    </w:lvl>
    <w:lvl w:ilvl="8" w:tentative="0">
      <w:start w:val="1"/>
      <w:numFmt w:val="lowerRoman"/>
      <w:lvlText w:val="%9."/>
      <w:lvlJc w:val="right"/>
      <w:pPr>
        <w:ind w:left="4270" w:hanging="420"/>
      </w:pPr>
    </w:lvl>
  </w:abstractNum>
  <w:abstractNum w:abstractNumId="15">
    <w:nsid w:val="0CEC658C"/>
    <w:multiLevelType w:val="multilevel"/>
    <w:tmpl w:val="0CEC658C"/>
    <w:lvl w:ilvl="0" w:tentative="0">
      <w:start w:val="1"/>
      <w:numFmt w:val="decimal"/>
      <w:lvlText w:val="%1）"/>
      <w:lvlJc w:val="left"/>
      <w:pPr>
        <w:ind w:left="420" w:hanging="420"/>
      </w:pPr>
      <w:rPr>
        <w:rFonts w:hint="eastAsia"/>
        <w:b w:val="0"/>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DDD7E67"/>
    <w:multiLevelType w:val="multilevel"/>
    <w:tmpl w:val="0DDD7E6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DED7EA1"/>
    <w:multiLevelType w:val="multilevel"/>
    <w:tmpl w:val="0DED7EA1"/>
    <w:lvl w:ilvl="0" w:tentative="0">
      <w:start w:val="1"/>
      <w:numFmt w:val="decimal"/>
      <w:lvlText w:val="%1)"/>
      <w:lvlJc w:val="left"/>
      <w:pPr>
        <w:ind w:left="1552" w:hanging="420"/>
      </w:pPr>
      <w:rPr>
        <w:rFonts w:ascii="宋体" w:hAnsi="宋体" w:eastAsia="宋体"/>
        <w:sz w:val="21"/>
        <w:szCs w:val="21"/>
      </w:rPr>
    </w:lvl>
    <w:lvl w:ilvl="1" w:tentative="0">
      <w:start w:val="1"/>
      <w:numFmt w:val="lowerLetter"/>
      <w:lvlText w:val="%2)"/>
      <w:lvlJc w:val="left"/>
      <w:pPr>
        <w:ind w:left="1972" w:hanging="420"/>
      </w:pPr>
    </w:lvl>
    <w:lvl w:ilvl="2" w:tentative="0">
      <w:start w:val="1"/>
      <w:numFmt w:val="lowerRoman"/>
      <w:lvlText w:val="%3."/>
      <w:lvlJc w:val="right"/>
      <w:pPr>
        <w:ind w:left="2392" w:hanging="420"/>
      </w:pPr>
    </w:lvl>
    <w:lvl w:ilvl="3" w:tentative="0">
      <w:start w:val="1"/>
      <w:numFmt w:val="decimal"/>
      <w:lvlText w:val="%4."/>
      <w:lvlJc w:val="left"/>
      <w:pPr>
        <w:ind w:left="2812" w:hanging="420"/>
      </w:pPr>
    </w:lvl>
    <w:lvl w:ilvl="4" w:tentative="0">
      <w:start w:val="1"/>
      <w:numFmt w:val="lowerLetter"/>
      <w:lvlText w:val="%5)"/>
      <w:lvlJc w:val="left"/>
      <w:pPr>
        <w:ind w:left="3232" w:hanging="420"/>
      </w:pPr>
    </w:lvl>
    <w:lvl w:ilvl="5" w:tentative="0">
      <w:start w:val="1"/>
      <w:numFmt w:val="lowerRoman"/>
      <w:lvlText w:val="%6."/>
      <w:lvlJc w:val="right"/>
      <w:pPr>
        <w:ind w:left="3652" w:hanging="420"/>
      </w:pPr>
    </w:lvl>
    <w:lvl w:ilvl="6" w:tentative="0">
      <w:start w:val="1"/>
      <w:numFmt w:val="decimal"/>
      <w:lvlText w:val="%7."/>
      <w:lvlJc w:val="left"/>
      <w:pPr>
        <w:ind w:left="4072" w:hanging="420"/>
      </w:pPr>
    </w:lvl>
    <w:lvl w:ilvl="7" w:tentative="0">
      <w:start w:val="1"/>
      <w:numFmt w:val="lowerLetter"/>
      <w:lvlText w:val="%8)"/>
      <w:lvlJc w:val="left"/>
      <w:pPr>
        <w:ind w:left="4492" w:hanging="420"/>
      </w:pPr>
    </w:lvl>
    <w:lvl w:ilvl="8" w:tentative="0">
      <w:start w:val="1"/>
      <w:numFmt w:val="lowerRoman"/>
      <w:lvlText w:val="%9."/>
      <w:lvlJc w:val="right"/>
      <w:pPr>
        <w:ind w:left="4912" w:hanging="420"/>
      </w:pPr>
    </w:lvl>
  </w:abstractNum>
  <w:abstractNum w:abstractNumId="18">
    <w:nsid w:val="0FB13F38"/>
    <w:multiLevelType w:val="multilevel"/>
    <w:tmpl w:val="0FB13F38"/>
    <w:lvl w:ilvl="0" w:tentative="0">
      <w:start w:val="1"/>
      <w:numFmt w:val="decimal"/>
      <w:lvlText w:val="%1）"/>
      <w:lvlJc w:val="left"/>
      <w:pPr>
        <w:ind w:left="420" w:hanging="420"/>
      </w:pPr>
      <w:rPr>
        <w:rFonts w:hint="eastAsia"/>
        <w:b w:val="0"/>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1784EF3"/>
    <w:multiLevelType w:val="multilevel"/>
    <w:tmpl w:val="11784EF3"/>
    <w:lvl w:ilvl="0" w:tentative="0">
      <w:start w:val="1"/>
      <w:numFmt w:val="decimal"/>
      <w:lvlText w:val="8.%1"/>
      <w:lvlJc w:val="left"/>
      <w:pPr>
        <w:ind w:left="630" w:hanging="420"/>
      </w:pPr>
      <w:rPr>
        <w:rFonts w:hint="eastAsia"/>
        <w:sz w:val="21"/>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18D7FF0"/>
    <w:multiLevelType w:val="multilevel"/>
    <w:tmpl w:val="118D7FF0"/>
    <w:lvl w:ilvl="0" w:tentative="0">
      <w:start w:val="1"/>
      <w:numFmt w:val="chineseCountingThousand"/>
      <w:lvlText w:val="%1、"/>
      <w:lvlJc w:val="left"/>
      <w:pPr>
        <w:tabs>
          <w:tab w:val="left" w:pos="425"/>
        </w:tabs>
        <w:ind w:left="425"/>
      </w:pPr>
      <w:rPr>
        <w:rFonts w:hint="default" w:cs="Times New Roman"/>
      </w:rPr>
    </w:lvl>
    <w:lvl w:ilvl="1" w:tentative="0">
      <w:start w:val="1"/>
      <w:numFmt w:val="japaneseCounting"/>
      <w:lvlText w:val="%2、"/>
      <w:lvlJc w:val="left"/>
      <w:pPr>
        <w:tabs>
          <w:tab w:val="left" w:pos="1413"/>
        </w:tabs>
        <w:ind w:left="1413" w:hanging="420"/>
      </w:pPr>
      <w:rPr>
        <w:rFonts w:hint="default" w:cs="Times New Roman"/>
      </w:rPr>
    </w:lvl>
    <w:lvl w:ilvl="2" w:tentative="0">
      <w:start w:val="1"/>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hint="default" w:cs="Times New Roman"/>
      </w:rPr>
    </w:lvl>
    <w:lvl w:ilvl="4" w:tentative="0">
      <w:start w:val="1"/>
      <w:numFmt w:val="lowerLetter"/>
      <w:lvlText w:val="%5)"/>
      <w:lvlJc w:val="left"/>
      <w:pPr>
        <w:tabs>
          <w:tab w:val="left" w:pos="2040"/>
        </w:tabs>
        <w:ind w:left="2040" w:hanging="360"/>
      </w:pPr>
      <w:rPr>
        <w:rFonts w:hint="default" w:cs="Times New Roman"/>
      </w:rPr>
    </w:lvl>
    <w:lvl w:ilvl="5" w:tentative="0">
      <w:start w:val="1"/>
      <w:numFmt w:val="lowerLetter"/>
      <w:lvlText w:val="%6）"/>
      <w:lvlJc w:val="left"/>
      <w:pPr>
        <w:tabs>
          <w:tab w:val="left" w:pos="2460"/>
        </w:tabs>
        <w:ind w:left="2460" w:hanging="360"/>
      </w:pPr>
      <w:rPr>
        <w:rFonts w:hint="default" w:ascii="宋体" w:eastAsia="宋体"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1">
    <w:nsid w:val="12642969"/>
    <w:multiLevelType w:val="multilevel"/>
    <w:tmpl w:val="12642969"/>
    <w:lvl w:ilvl="0" w:tentative="0">
      <w:start w:val="1"/>
      <w:numFmt w:val="decimal"/>
      <w:lvlText w:val="%1)"/>
      <w:lvlJc w:val="left"/>
      <w:pPr>
        <w:tabs>
          <w:tab w:val="left" w:pos="720"/>
        </w:tabs>
        <w:ind w:left="720" w:hanging="360"/>
      </w:pPr>
      <w:rPr>
        <w:rFonts w:hint="default" w:ascii="宋体" w:hAnsi="宋体" w:eastAsia="宋体" w:cs="Times New Roman"/>
        <w:sz w:val="21"/>
        <w:szCs w:val="21"/>
      </w:rPr>
    </w:lvl>
    <w:lvl w:ilvl="1" w:tentative="0">
      <w:start w:val="1"/>
      <w:numFmt w:val="japaneseCounting"/>
      <w:lvlText w:val="%2、"/>
      <w:lvlJc w:val="left"/>
      <w:pPr>
        <w:tabs>
          <w:tab w:val="left" w:pos="720"/>
        </w:tabs>
        <w:ind w:left="720" w:hanging="465"/>
      </w:pPr>
      <w:rPr>
        <w:rFonts w:hint="default" w:cs="黑体"/>
      </w:rPr>
    </w:lvl>
    <w:lvl w:ilvl="2" w:tentative="0">
      <w:start w:val="1"/>
      <w:numFmt w:val="decimal"/>
      <w:lvlText w:val="%3)"/>
      <w:lvlJc w:val="left"/>
      <w:pPr>
        <w:tabs>
          <w:tab w:val="left" w:pos="915"/>
        </w:tabs>
        <w:ind w:left="915" w:hanging="240"/>
      </w:pPr>
      <w:rPr>
        <w:rFonts w:hint="default" w:cs="Times New Roman"/>
      </w:rPr>
    </w:lvl>
    <w:lvl w:ilvl="3" w:tentative="0">
      <w:start w:val="1"/>
      <w:numFmt w:val="decimal"/>
      <w:lvlText w:val="%4）"/>
      <w:lvlJc w:val="left"/>
      <w:pPr>
        <w:tabs>
          <w:tab w:val="left" w:pos="1455"/>
        </w:tabs>
        <w:ind w:left="1455" w:hanging="360"/>
      </w:pPr>
      <w:rPr>
        <w:rFonts w:hint="default" w:cs="Times New Roman"/>
      </w:rPr>
    </w:lvl>
    <w:lvl w:ilvl="4" w:tentative="0">
      <w:start w:val="4"/>
      <w:numFmt w:val="decimal"/>
      <w:lvlText w:val="%5．"/>
      <w:lvlJc w:val="left"/>
      <w:pPr>
        <w:tabs>
          <w:tab w:val="left" w:pos="1875"/>
        </w:tabs>
        <w:ind w:left="1875" w:hanging="360"/>
      </w:pPr>
      <w:rPr>
        <w:rFonts w:hint="default" w:cs="Times New Roman"/>
      </w:rPr>
    </w:lvl>
    <w:lvl w:ilvl="5" w:tentative="0">
      <w:start w:val="1"/>
      <w:numFmt w:val="lowerRoman"/>
      <w:lvlText w:val="%6."/>
      <w:lvlJc w:val="right"/>
      <w:pPr>
        <w:tabs>
          <w:tab w:val="left" w:pos="2355"/>
        </w:tabs>
        <w:ind w:left="2355" w:hanging="420"/>
      </w:pPr>
      <w:rPr>
        <w:rFonts w:cs="Times New Roman"/>
      </w:rPr>
    </w:lvl>
    <w:lvl w:ilvl="6" w:tentative="0">
      <w:start w:val="1"/>
      <w:numFmt w:val="decimal"/>
      <w:lvlText w:val="%7."/>
      <w:lvlJc w:val="left"/>
      <w:pPr>
        <w:tabs>
          <w:tab w:val="left" w:pos="2775"/>
        </w:tabs>
        <w:ind w:left="2775" w:hanging="420"/>
      </w:pPr>
      <w:rPr>
        <w:rFonts w:cs="Times New Roman"/>
      </w:rPr>
    </w:lvl>
    <w:lvl w:ilvl="7" w:tentative="0">
      <w:start w:val="1"/>
      <w:numFmt w:val="lowerLetter"/>
      <w:lvlText w:val="%8)"/>
      <w:lvlJc w:val="left"/>
      <w:pPr>
        <w:tabs>
          <w:tab w:val="left" w:pos="3195"/>
        </w:tabs>
        <w:ind w:left="3195" w:hanging="420"/>
      </w:pPr>
      <w:rPr>
        <w:rFonts w:cs="Times New Roman"/>
      </w:rPr>
    </w:lvl>
    <w:lvl w:ilvl="8" w:tentative="0">
      <w:start w:val="1"/>
      <w:numFmt w:val="lowerRoman"/>
      <w:lvlText w:val="%9."/>
      <w:lvlJc w:val="right"/>
      <w:pPr>
        <w:tabs>
          <w:tab w:val="left" w:pos="3615"/>
        </w:tabs>
        <w:ind w:left="3615" w:hanging="420"/>
      </w:pPr>
      <w:rPr>
        <w:rFonts w:cs="Times New Roman"/>
      </w:rPr>
    </w:lvl>
  </w:abstractNum>
  <w:abstractNum w:abstractNumId="22">
    <w:nsid w:val="15E52A84"/>
    <w:multiLevelType w:val="multilevel"/>
    <w:tmpl w:val="15E52A84"/>
    <w:lvl w:ilvl="0" w:tentative="0">
      <w:start w:val="1"/>
      <w:numFmt w:val="decimal"/>
      <w:lvlText w:val="11.%1"/>
      <w:lvlJc w:val="left"/>
      <w:pPr>
        <w:ind w:left="630" w:hanging="420"/>
      </w:pPr>
      <w:rPr>
        <w:rFonts w:hint="eastAsia"/>
        <w:b w:val="0"/>
        <w:sz w:val="21"/>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1C8005C7"/>
    <w:multiLevelType w:val="multilevel"/>
    <w:tmpl w:val="1C8005C7"/>
    <w:lvl w:ilvl="0" w:tentative="0">
      <w:start w:val="1"/>
      <w:numFmt w:val="decimal"/>
      <w:lvlText w:val="%1."/>
      <w:lvlJc w:val="left"/>
      <w:pPr>
        <w:tabs>
          <w:tab w:val="left" w:pos="2204"/>
        </w:tabs>
        <w:ind w:left="2204" w:hanging="360"/>
      </w:pPr>
      <w:rPr>
        <w:rFonts w:hint="default"/>
        <w:b w:val="0"/>
        <w:i w:val="0"/>
        <w:sz w:val="24"/>
        <w:szCs w:val="32"/>
      </w:rPr>
    </w:lvl>
    <w:lvl w:ilvl="1" w:tentative="0">
      <w:start w:val="1"/>
      <w:numFmt w:val="decimal"/>
      <w:lvlText w:val="%2.1"/>
      <w:lvlJc w:val="left"/>
      <w:pPr>
        <w:tabs>
          <w:tab w:val="left" w:pos="1094"/>
        </w:tabs>
        <w:ind w:left="1094" w:hanging="674"/>
      </w:pPr>
      <w:rPr>
        <w:rFonts w:hint="eastAsia"/>
      </w:rPr>
    </w:lvl>
    <w:lvl w:ilvl="2" w:tentative="0">
      <w:start w:val="1"/>
      <w:numFmt w:val="lowerLetter"/>
      <w:lvlText w:val="%3）"/>
      <w:lvlJc w:val="left"/>
      <w:pPr>
        <w:tabs>
          <w:tab w:val="left" w:pos="1620"/>
        </w:tabs>
        <w:ind w:left="1620" w:hanging="360"/>
      </w:pPr>
      <w:rPr>
        <w:rFonts w:hint="default" w:cs="Times New Roman"/>
        <w:b w:val="0"/>
      </w:rPr>
    </w:lvl>
    <w:lvl w:ilvl="3" w:tentative="0">
      <w:start w:val="1"/>
      <w:numFmt w:val="decimal"/>
      <w:lvlText w:val="%4）"/>
      <w:lvlJc w:val="left"/>
      <w:pPr>
        <w:tabs>
          <w:tab w:val="left" w:pos="2040"/>
        </w:tabs>
        <w:ind w:left="2040" w:hanging="360"/>
      </w:pPr>
      <w:rPr>
        <w:rFonts w:hint="default" w:cs="Times New Roman"/>
      </w:rPr>
    </w:lvl>
    <w:lvl w:ilvl="4" w:tentative="0">
      <w:start w:val="1"/>
      <w:numFmt w:val="decimal"/>
      <w:lvlText w:val="%5."/>
      <w:lvlJc w:val="left"/>
      <w:pPr>
        <w:tabs>
          <w:tab w:val="left" w:pos="540"/>
        </w:tabs>
        <w:ind w:left="540" w:hanging="360"/>
      </w:pPr>
      <w:rPr>
        <w:rFonts w:hint="default" w:cs="Times New Roman"/>
        <w:b/>
        <w:sz w:val="24"/>
        <w:szCs w:val="24"/>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24">
    <w:nsid w:val="1E130806"/>
    <w:multiLevelType w:val="multilevel"/>
    <w:tmpl w:val="1E130806"/>
    <w:lvl w:ilvl="0" w:tentative="0">
      <w:start w:val="1"/>
      <w:numFmt w:val="decimal"/>
      <w:lvlText w:val="%1)"/>
      <w:lvlJc w:val="left"/>
      <w:pPr>
        <w:tabs>
          <w:tab w:val="left" w:pos="720"/>
        </w:tabs>
        <w:ind w:left="720" w:hanging="360"/>
      </w:pPr>
      <w:rPr>
        <w:rFonts w:hint="default" w:ascii="宋体" w:hAnsi="宋体" w:eastAsia="宋体" w:cs="Times New Roman"/>
        <w:sz w:val="21"/>
        <w:szCs w:val="21"/>
      </w:rPr>
    </w:lvl>
    <w:lvl w:ilvl="1" w:tentative="0">
      <w:start w:val="1"/>
      <w:numFmt w:val="japaneseCounting"/>
      <w:lvlText w:val="%2、"/>
      <w:lvlJc w:val="left"/>
      <w:pPr>
        <w:tabs>
          <w:tab w:val="left" w:pos="720"/>
        </w:tabs>
        <w:ind w:left="720" w:hanging="465"/>
      </w:pPr>
      <w:rPr>
        <w:rFonts w:hint="default" w:cs="黑体"/>
      </w:rPr>
    </w:lvl>
    <w:lvl w:ilvl="2" w:tentative="0">
      <w:start w:val="1"/>
      <w:numFmt w:val="decimal"/>
      <w:lvlText w:val="%3)"/>
      <w:lvlJc w:val="left"/>
      <w:pPr>
        <w:tabs>
          <w:tab w:val="left" w:pos="915"/>
        </w:tabs>
        <w:ind w:left="915" w:hanging="240"/>
      </w:pPr>
      <w:rPr>
        <w:rFonts w:hint="default" w:cs="Times New Roman"/>
      </w:rPr>
    </w:lvl>
    <w:lvl w:ilvl="3" w:tentative="0">
      <w:start w:val="1"/>
      <w:numFmt w:val="decimal"/>
      <w:lvlText w:val="%4）"/>
      <w:lvlJc w:val="left"/>
      <w:pPr>
        <w:tabs>
          <w:tab w:val="left" w:pos="1455"/>
        </w:tabs>
        <w:ind w:left="1455" w:hanging="360"/>
      </w:pPr>
      <w:rPr>
        <w:rFonts w:hint="default" w:cs="Times New Roman"/>
      </w:rPr>
    </w:lvl>
    <w:lvl w:ilvl="4" w:tentative="0">
      <w:start w:val="4"/>
      <w:numFmt w:val="decimal"/>
      <w:lvlText w:val="%5．"/>
      <w:lvlJc w:val="left"/>
      <w:pPr>
        <w:tabs>
          <w:tab w:val="left" w:pos="1875"/>
        </w:tabs>
        <w:ind w:left="1875" w:hanging="360"/>
      </w:pPr>
      <w:rPr>
        <w:rFonts w:hint="default" w:cs="Times New Roman"/>
      </w:rPr>
    </w:lvl>
    <w:lvl w:ilvl="5" w:tentative="0">
      <w:start w:val="1"/>
      <w:numFmt w:val="lowerRoman"/>
      <w:lvlText w:val="%6."/>
      <w:lvlJc w:val="right"/>
      <w:pPr>
        <w:tabs>
          <w:tab w:val="left" w:pos="2355"/>
        </w:tabs>
        <w:ind w:left="2355" w:hanging="420"/>
      </w:pPr>
      <w:rPr>
        <w:rFonts w:cs="Times New Roman"/>
      </w:rPr>
    </w:lvl>
    <w:lvl w:ilvl="6" w:tentative="0">
      <w:start w:val="1"/>
      <w:numFmt w:val="decimal"/>
      <w:lvlText w:val="%7."/>
      <w:lvlJc w:val="left"/>
      <w:pPr>
        <w:tabs>
          <w:tab w:val="left" w:pos="2775"/>
        </w:tabs>
        <w:ind w:left="2775" w:hanging="420"/>
      </w:pPr>
      <w:rPr>
        <w:rFonts w:cs="Times New Roman"/>
      </w:rPr>
    </w:lvl>
    <w:lvl w:ilvl="7" w:tentative="0">
      <w:start w:val="1"/>
      <w:numFmt w:val="lowerLetter"/>
      <w:lvlText w:val="%8)"/>
      <w:lvlJc w:val="left"/>
      <w:pPr>
        <w:tabs>
          <w:tab w:val="left" w:pos="3195"/>
        </w:tabs>
        <w:ind w:left="3195" w:hanging="420"/>
      </w:pPr>
      <w:rPr>
        <w:rFonts w:cs="Times New Roman"/>
      </w:rPr>
    </w:lvl>
    <w:lvl w:ilvl="8" w:tentative="0">
      <w:start w:val="1"/>
      <w:numFmt w:val="lowerRoman"/>
      <w:lvlText w:val="%9."/>
      <w:lvlJc w:val="right"/>
      <w:pPr>
        <w:tabs>
          <w:tab w:val="left" w:pos="3615"/>
        </w:tabs>
        <w:ind w:left="3615" w:hanging="420"/>
      </w:pPr>
      <w:rPr>
        <w:rFonts w:cs="Times New Roman"/>
      </w:rPr>
    </w:lvl>
  </w:abstractNum>
  <w:abstractNum w:abstractNumId="25">
    <w:nsid w:val="20407004"/>
    <w:multiLevelType w:val="multilevel"/>
    <w:tmpl w:val="20407004"/>
    <w:lvl w:ilvl="0" w:tentative="0">
      <w:start w:val="1"/>
      <w:numFmt w:val="decimal"/>
      <w:lvlText w:val="%1."/>
      <w:lvlJc w:val="left"/>
      <w:pPr>
        <w:ind w:left="840" w:hanging="420"/>
      </w:pPr>
      <w:rPr>
        <w:rFonts w:ascii="宋体" w:hAnsi="宋体"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
    <w:nsid w:val="235107B7"/>
    <w:multiLevelType w:val="multilevel"/>
    <w:tmpl w:val="235107B7"/>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7">
    <w:nsid w:val="251B2B6C"/>
    <w:multiLevelType w:val="multilevel"/>
    <w:tmpl w:val="251B2B6C"/>
    <w:lvl w:ilvl="0" w:tentative="0">
      <w:start w:val="1"/>
      <w:numFmt w:val="chineseCountingThousand"/>
      <w:lvlText w:val="（%1） "/>
      <w:lvlJc w:val="left"/>
      <w:pPr>
        <w:ind w:left="902" w:hanging="420"/>
      </w:pPr>
      <w:rPr>
        <w:rFonts w:hint="eastAsia"/>
        <w:b/>
        <w:strike w:val="0"/>
        <w:dstrike w:val="0"/>
        <w:sz w:val="24"/>
        <w:szCs w:val="24"/>
        <w:u w:val="none"/>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8">
    <w:nsid w:val="251F49FC"/>
    <w:multiLevelType w:val="multilevel"/>
    <w:tmpl w:val="251F49FC"/>
    <w:lvl w:ilvl="0" w:tentative="0">
      <w:start w:val="1"/>
      <w:numFmt w:val="decimal"/>
      <w:lvlText w:val="%1."/>
      <w:lvlJc w:val="left"/>
      <w:pPr>
        <w:ind w:left="902" w:hanging="420"/>
      </w:pPr>
      <w:rPr>
        <w:rFonts w:hint="default" w:ascii="宋体" w:hAnsi="宋体" w:eastAsia="宋体"/>
        <w:b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9">
    <w:nsid w:val="25684573"/>
    <w:multiLevelType w:val="multilevel"/>
    <w:tmpl w:val="25684573"/>
    <w:lvl w:ilvl="0" w:tentative="0">
      <w:start w:val="1"/>
      <w:numFmt w:val="decimal"/>
      <w:lvlText w:val="%1）"/>
      <w:lvlJc w:val="left"/>
      <w:pPr>
        <w:ind w:left="420" w:hanging="420"/>
      </w:pPr>
      <w:rPr>
        <w:rFonts w:hint="eastAsia"/>
        <w:b w:val="0"/>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B33785C"/>
    <w:multiLevelType w:val="multilevel"/>
    <w:tmpl w:val="2B33785C"/>
    <w:lvl w:ilvl="0" w:tentative="0">
      <w:start w:val="1"/>
      <w:numFmt w:val="chineseCountingThousand"/>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b w:val="0"/>
      </w:rPr>
    </w:lvl>
    <w:lvl w:ilvl="4" w:tentative="0">
      <w:start w:val="1"/>
      <w:numFmt w:val="decimal"/>
      <w:lvlText w:val="%1.%2.%3.%4.%5"/>
      <w:lvlJc w:val="left"/>
      <w:pPr>
        <w:ind w:left="0" w:firstLine="0"/>
      </w:pPr>
      <w:rPr>
        <w:rFonts w:hint="eastAsia"/>
        <w:b w:val="0"/>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1">
    <w:nsid w:val="2B3A1271"/>
    <w:multiLevelType w:val="multilevel"/>
    <w:tmpl w:val="2B3A1271"/>
    <w:lvl w:ilvl="0" w:tentative="0">
      <w:start w:val="1"/>
      <w:numFmt w:val="decimal"/>
      <w:lvlText w:val="13.%1"/>
      <w:lvlJc w:val="left"/>
      <w:pPr>
        <w:ind w:left="630" w:hanging="420"/>
      </w:pPr>
      <w:rPr>
        <w:rFonts w:hint="eastAsia"/>
        <w:sz w:val="21"/>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EA41116"/>
    <w:multiLevelType w:val="multilevel"/>
    <w:tmpl w:val="2EA41116"/>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00E3298"/>
    <w:multiLevelType w:val="multilevel"/>
    <w:tmpl w:val="300E3298"/>
    <w:lvl w:ilvl="0" w:tentative="0">
      <w:start w:val="1"/>
      <w:numFmt w:val="decimal"/>
      <w:lvlText w:val="%1）"/>
      <w:lvlJc w:val="left"/>
      <w:pPr>
        <w:ind w:left="420" w:hanging="420"/>
      </w:pPr>
      <w:rPr>
        <w:rFonts w:hint="eastAsia"/>
        <w:b w:val="0"/>
        <w:i w:val="0"/>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1C20E5F"/>
    <w:multiLevelType w:val="multilevel"/>
    <w:tmpl w:val="31C20E5F"/>
    <w:lvl w:ilvl="0" w:tentative="0">
      <w:start w:val="22"/>
      <w:numFmt w:val="decimal"/>
      <w:lvlText w:val="%1"/>
      <w:lvlJc w:val="left"/>
      <w:pPr>
        <w:tabs>
          <w:tab w:val="left" w:pos="480"/>
        </w:tabs>
        <w:ind w:left="480" w:hanging="480"/>
      </w:pPr>
      <w:rPr>
        <w:rFonts w:hint="default" w:cs="Times New Roman"/>
      </w:rPr>
    </w:lvl>
    <w:lvl w:ilvl="1" w:tentative="0">
      <w:start w:val="1"/>
      <w:numFmt w:val="decimal"/>
      <w:lvlText w:val="29.%2"/>
      <w:lvlJc w:val="left"/>
      <w:pPr>
        <w:tabs>
          <w:tab w:val="left" w:pos="840"/>
        </w:tabs>
        <w:ind w:left="840" w:hanging="480"/>
      </w:pPr>
      <w:rPr>
        <w:rFonts w:hint="eastAsia"/>
        <w:b w:val="0"/>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35">
    <w:nsid w:val="391A55EF"/>
    <w:multiLevelType w:val="multilevel"/>
    <w:tmpl w:val="391A55EF"/>
    <w:lvl w:ilvl="0" w:tentative="0">
      <w:start w:val="22"/>
      <w:numFmt w:val="decimal"/>
      <w:lvlText w:val="%1"/>
      <w:lvlJc w:val="left"/>
      <w:pPr>
        <w:tabs>
          <w:tab w:val="left" w:pos="480"/>
        </w:tabs>
        <w:ind w:left="480" w:hanging="480"/>
      </w:pPr>
      <w:rPr>
        <w:rFonts w:hint="default" w:cs="Times New Roman"/>
      </w:rPr>
    </w:lvl>
    <w:lvl w:ilvl="1" w:tentative="0">
      <w:start w:val="1"/>
      <w:numFmt w:val="decimal"/>
      <w:lvlText w:val="24.%2"/>
      <w:lvlJc w:val="left"/>
      <w:pPr>
        <w:tabs>
          <w:tab w:val="left" w:pos="840"/>
        </w:tabs>
        <w:ind w:left="840" w:hanging="480"/>
      </w:pPr>
      <w:rPr>
        <w:rFonts w:hint="eastAsia"/>
        <w:b w:val="0"/>
        <w:sz w:val="21"/>
        <w:szCs w:val="21"/>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36">
    <w:nsid w:val="42574245"/>
    <w:multiLevelType w:val="multilevel"/>
    <w:tmpl w:val="42574245"/>
    <w:lvl w:ilvl="0" w:tentative="0">
      <w:start w:val="1"/>
      <w:numFmt w:val="decimal"/>
      <w:lvlText w:val="%1."/>
      <w:lvlJc w:val="left"/>
      <w:pPr>
        <w:ind w:left="840" w:hanging="420"/>
      </w:pPr>
      <w:rPr>
        <w:rFonts w:hint="eastAsia"/>
        <w:color w:val="000000" w:themeColor="text1"/>
        <w14:textFill>
          <w14:solidFill>
            <w14:schemeClr w14:val="tx1"/>
          </w14:solidFill>
        </w14:textFill>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7">
    <w:nsid w:val="44DD138B"/>
    <w:multiLevelType w:val="multilevel"/>
    <w:tmpl w:val="44DD138B"/>
    <w:lvl w:ilvl="0" w:tentative="0">
      <w:start w:val="22"/>
      <w:numFmt w:val="decimal"/>
      <w:lvlText w:val="25.2.%1"/>
      <w:lvlJc w:val="left"/>
      <w:pPr>
        <w:tabs>
          <w:tab w:val="left" w:pos="480"/>
        </w:tabs>
        <w:ind w:left="480" w:hanging="480"/>
      </w:pPr>
      <w:rPr>
        <w:rFonts w:hint="eastAsia"/>
      </w:rPr>
    </w:lvl>
    <w:lvl w:ilvl="1" w:tentative="0">
      <w:start w:val="1"/>
      <w:numFmt w:val="decimal"/>
      <w:lvlText w:val="26.%2"/>
      <w:lvlJc w:val="left"/>
      <w:pPr>
        <w:tabs>
          <w:tab w:val="left" w:pos="840"/>
        </w:tabs>
        <w:ind w:left="840" w:hanging="480"/>
      </w:pPr>
      <w:rPr>
        <w:rFonts w:hint="eastAsia" w:ascii="宋体" w:hAnsi="宋体" w:eastAsia="宋体"/>
        <w:b w:val="0"/>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38">
    <w:nsid w:val="45503FCF"/>
    <w:multiLevelType w:val="multilevel"/>
    <w:tmpl w:val="45503FCF"/>
    <w:lvl w:ilvl="0" w:tentative="0">
      <w:start w:val="1"/>
      <w:numFmt w:val="decimal"/>
      <w:lvlText w:val="%1)"/>
      <w:lvlJc w:val="left"/>
      <w:pPr>
        <w:ind w:left="860" w:hanging="420"/>
      </w:pPr>
      <w:rPr>
        <w:rFonts w:hint="eastAsia"/>
        <w:sz w:val="21"/>
        <w:szCs w:val="21"/>
        <w:lang w:val="en-US"/>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39">
    <w:nsid w:val="46450AAB"/>
    <w:multiLevelType w:val="multilevel"/>
    <w:tmpl w:val="46450AAB"/>
    <w:lvl w:ilvl="0" w:tentative="0">
      <w:start w:val="11"/>
      <w:numFmt w:val="decimal"/>
      <w:lvlText w:val="%1"/>
      <w:lvlJc w:val="left"/>
      <w:pPr>
        <w:tabs>
          <w:tab w:val="left" w:pos="465"/>
        </w:tabs>
        <w:ind w:left="465" w:hanging="465"/>
      </w:pPr>
      <w:rPr>
        <w:rFonts w:hint="default" w:cs="Times New Roman"/>
      </w:rPr>
    </w:lvl>
    <w:lvl w:ilvl="1" w:tentative="0">
      <w:start w:val="2"/>
      <w:numFmt w:val="decimal"/>
      <w:lvlText w:val="12.%2"/>
      <w:lvlJc w:val="left"/>
      <w:pPr>
        <w:tabs>
          <w:tab w:val="left" w:pos="465"/>
        </w:tabs>
        <w:ind w:left="465" w:hanging="181"/>
      </w:pPr>
      <w:rPr>
        <w:rFonts w:hint="eastAsia"/>
        <w:sz w:val="21"/>
        <w:szCs w:val="24"/>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40">
    <w:nsid w:val="464F1A02"/>
    <w:multiLevelType w:val="multilevel"/>
    <w:tmpl w:val="464F1A02"/>
    <w:lvl w:ilvl="0" w:tentative="0">
      <w:start w:val="1"/>
      <w:numFmt w:val="decimal"/>
      <w:lvlText w:val="6.%1"/>
      <w:lvlJc w:val="left"/>
      <w:pPr>
        <w:ind w:left="630" w:hanging="420"/>
      </w:pPr>
      <w:rPr>
        <w:rFonts w:hint="eastAsia"/>
        <w:sz w:val="21"/>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4668543F"/>
    <w:multiLevelType w:val="multilevel"/>
    <w:tmpl w:val="4668543F"/>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42">
    <w:nsid w:val="48D1372D"/>
    <w:multiLevelType w:val="multilevel"/>
    <w:tmpl w:val="48D1372D"/>
    <w:lvl w:ilvl="0" w:tentative="0">
      <w:start w:val="1"/>
      <w:numFmt w:val="decimal"/>
      <w:lvlText w:val="17.%1"/>
      <w:lvlJc w:val="left"/>
      <w:pPr>
        <w:ind w:left="630" w:hanging="420"/>
      </w:pPr>
      <w:rPr>
        <w:rFonts w:hint="eastAsia"/>
        <w:sz w:val="21"/>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4C2871E8"/>
    <w:multiLevelType w:val="multilevel"/>
    <w:tmpl w:val="4C2871E8"/>
    <w:lvl w:ilvl="0" w:tentative="0">
      <w:start w:val="1"/>
      <w:numFmt w:val="decimal"/>
      <w:lvlText w:val="22.%1"/>
      <w:lvlJc w:val="left"/>
      <w:pPr>
        <w:ind w:left="630" w:hanging="420"/>
      </w:pPr>
      <w:rPr>
        <w:rFonts w:hint="eastAsia"/>
        <w:b w:val="0"/>
        <w:sz w:val="21"/>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4E142C20"/>
    <w:multiLevelType w:val="multilevel"/>
    <w:tmpl w:val="4E142C20"/>
    <w:lvl w:ilvl="0" w:tentative="0">
      <w:start w:val="1"/>
      <w:numFmt w:val="decimal"/>
      <w:lvlText w:val="%1)"/>
      <w:lvlJc w:val="left"/>
      <w:pPr>
        <w:ind w:left="-209" w:hanging="420"/>
      </w:pPr>
      <w:rPr>
        <w:rFonts w:hint="default"/>
        <w:b w:val="0"/>
        <w:strike w:val="0"/>
        <w:color w:val="auto"/>
      </w:rPr>
    </w:lvl>
    <w:lvl w:ilvl="1" w:tentative="0">
      <w:start w:val="1"/>
      <w:numFmt w:val="lowerLetter"/>
      <w:lvlText w:val="%2)"/>
      <w:lvlJc w:val="left"/>
      <w:pPr>
        <w:ind w:left="211" w:hanging="420"/>
      </w:pPr>
    </w:lvl>
    <w:lvl w:ilvl="2" w:tentative="0">
      <w:start w:val="1"/>
      <w:numFmt w:val="lowerRoman"/>
      <w:lvlText w:val="%3."/>
      <w:lvlJc w:val="right"/>
      <w:pPr>
        <w:ind w:left="631" w:hanging="420"/>
      </w:pPr>
    </w:lvl>
    <w:lvl w:ilvl="3" w:tentative="0">
      <w:start w:val="1"/>
      <w:numFmt w:val="decimal"/>
      <w:lvlText w:val="%4."/>
      <w:lvlJc w:val="left"/>
      <w:pPr>
        <w:ind w:left="1051" w:hanging="420"/>
      </w:pPr>
    </w:lvl>
    <w:lvl w:ilvl="4" w:tentative="0">
      <w:start w:val="1"/>
      <w:numFmt w:val="lowerLetter"/>
      <w:lvlText w:val="%5)"/>
      <w:lvlJc w:val="left"/>
      <w:pPr>
        <w:ind w:left="1471" w:hanging="420"/>
      </w:pPr>
    </w:lvl>
    <w:lvl w:ilvl="5" w:tentative="0">
      <w:start w:val="1"/>
      <w:numFmt w:val="lowerRoman"/>
      <w:lvlText w:val="%6."/>
      <w:lvlJc w:val="right"/>
      <w:pPr>
        <w:ind w:left="1891" w:hanging="420"/>
      </w:pPr>
    </w:lvl>
    <w:lvl w:ilvl="6" w:tentative="0">
      <w:start w:val="1"/>
      <w:numFmt w:val="decimal"/>
      <w:lvlText w:val="%7."/>
      <w:lvlJc w:val="left"/>
      <w:pPr>
        <w:ind w:left="2311" w:hanging="420"/>
      </w:pPr>
    </w:lvl>
    <w:lvl w:ilvl="7" w:tentative="0">
      <w:start w:val="1"/>
      <w:numFmt w:val="lowerLetter"/>
      <w:lvlText w:val="%8)"/>
      <w:lvlJc w:val="left"/>
      <w:pPr>
        <w:ind w:left="2731" w:hanging="420"/>
      </w:pPr>
    </w:lvl>
    <w:lvl w:ilvl="8" w:tentative="0">
      <w:start w:val="1"/>
      <w:numFmt w:val="lowerRoman"/>
      <w:lvlText w:val="%9."/>
      <w:lvlJc w:val="right"/>
      <w:pPr>
        <w:ind w:left="3151" w:hanging="420"/>
      </w:pPr>
    </w:lvl>
  </w:abstractNum>
  <w:abstractNum w:abstractNumId="45">
    <w:nsid w:val="51520B98"/>
    <w:multiLevelType w:val="multilevel"/>
    <w:tmpl w:val="51520B98"/>
    <w:lvl w:ilvl="0" w:tentative="0">
      <w:start w:val="1"/>
      <w:numFmt w:val="decimal"/>
      <w:lvlText w:val="4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174040E"/>
    <w:multiLevelType w:val="multilevel"/>
    <w:tmpl w:val="5174040E"/>
    <w:lvl w:ilvl="0" w:tentative="0">
      <w:start w:val="1"/>
      <w:numFmt w:val="decimal"/>
      <w:lvlText w:val="%1)"/>
      <w:lvlJc w:val="left"/>
      <w:pPr>
        <w:tabs>
          <w:tab w:val="left" w:pos="720"/>
        </w:tabs>
        <w:ind w:left="720" w:hanging="360"/>
      </w:pPr>
      <w:rPr>
        <w:rFonts w:hint="default" w:ascii="宋体" w:hAnsi="宋体" w:eastAsia="宋体" w:cs="Times New Roman"/>
        <w:sz w:val="21"/>
        <w:szCs w:val="21"/>
      </w:rPr>
    </w:lvl>
    <w:lvl w:ilvl="1" w:tentative="0">
      <w:start w:val="1"/>
      <w:numFmt w:val="japaneseCounting"/>
      <w:lvlText w:val="%2、"/>
      <w:lvlJc w:val="left"/>
      <w:pPr>
        <w:tabs>
          <w:tab w:val="left" w:pos="720"/>
        </w:tabs>
        <w:ind w:left="720" w:hanging="465"/>
      </w:pPr>
      <w:rPr>
        <w:rFonts w:hint="default" w:cs="黑体"/>
      </w:rPr>
    </w:lvl>
    <w:lvl w:ilvl="2" w:tentative="0">
      <w:start w:val="1"/>
      <w:numFmt w:val="decimal"/>
      <w:lvlText w:val="%3)"/>
      <w:lvlJc w:val="left"/>
      <w:pPr>
        <w:tabs>
          <w:tab w:val="left" w:pos="915"/>
        </w:tabs>
        <w:ind w:left="915" w:hanging="240"/>
      </w:pPr>
      <w:rPr>
        <w:rFonts w:hint="default" w:cs="Times New Roman"/>
      </w:rPr>
    </w:lvl>
    <w:lvl w:ilvl="3" w:tentative="0">
      <w:start w:val="1"/>
      <w:numFmt w:val="decimal"/>
      <w:lvlText w:val="%4）"/>
      <w:lvlJc w:val="left"/>
      <w:pPr>
        <w:tabs>
          <w:tab w:val="left" w:pos="1455"/>
        </w:tabs>
        <w:ind w:left="1455" w:hanging="360"/>
      </w:pPr>
      <w:rPr>
        <w:rFonts w:hint="default" w:cs="Times New Roman"/>
      </w:rPr>
    </w:lvl>
    <w:lvl w:ilvl="4" w:tentative="0">
      <w:start w:val="4"/>
      <w:numFmt w:val="decimal"/>
      <w:lvlText w:val="%5．"/>
      <w:lvlJc w:val="left"/>
      <w:pPr>
        <w:tabs>
          <w:tab w:val="left" w:pos="1875"/>
        </w:tabs>
        <w:ind w:left="1875" w:hanging="360"/>
      </w:pPr>
      <w:rPr>
        <w:rFonts w:hint="default" w:cs="Times New Roman"/>
      </w:rPr>
    </w:lvl>
    <w:lvl w:ilvl="5" w:tentative="0">
      <w:start w:val="1"/>
      <w:numFmt w:val="lowerRoman"/>
      <w:lvlText w:val="%6."/>
      <w:lvlJc w:val="right"/>
      <w:pPr>
        <w:tabs>
          <w:tab w:val="left" w:pos="2355"/>
        </w:tabs>
        <w:ind w:left="2355" w:hanging="420"/>
      </w:pPr>
      <w:rPr>
        <w:rFonts w:cs="Times New Roman"/>
      </w:rPr>
    </w:lvl>
    <w:lvl w:ilvl="6" w:tentative="0">
      <w:start w:val="1"/>
      <w:numFmt w:val="decimal"/>
      <w:lvlText w:val="%7."/>
      <w:lvlJc w:val="left"/>
      <w:pPr>
        <w:tabs>
          <w:tab w:val="left" w:pos="2775"/>
        </w:tabs>
        <w:ind w:left="2775" w:hanging="420"/>
      </w:pPr>
      <w:rPr>
        <w:rFonts w:cs="Times New Roman"/>
      </w:rPr>
    </w:lvl>
    <w:lvl w:ilvl="7" w:tentative="0">
      <w:start w:val="1"/>
      <w:numFmt w:val="lowerLetter"/>
      <w:lvlText w:val="%8)"/>
      <w:lvlJc w:val="left"/>
      <w:pPr>
        <w:tabs>
          <w:tab w:val="left" w:pos="3195"/>
        </w:tabs>
        <w:ind w:left="3195" w:hanging="420"/>
      </w:pPr>
      <w:rPr>
        <w:rFonts w:cs="Times New Roman"/>
      </w:rPr>
    </w:lvl>
    <w:lvl w:ilvl="8" w:tentative="0">
      <w:start w:val="1"/>
      <w:numFmt w:val="lowerRoman"/>
      <w:lvlText w:val="%9."/>
      <w:lvlJc w:val="right"/>
      <w:pPr>
        <w:tabs>
          <w:tab w:val="left" w:pos="3615"/>
        </w:tabs>
        <w:ind w:left="3615" w:hanging="420"/>
      </w:pPr>
      <w:rPr>
        <w:rFonts w:cs="Times New Roman"/>
      </w:rPr>
    </w:lvl>
  </w:abstractNum>
  <w:abstractNum w:abstractNumId="47">
    <w:nsid w:val="56780F69"/>
    <w:multiLevelType w:val="multilevel"/>
    <w:tmpl w:val="56780F69"/>
    <w:lvl w:ilvl="0" w:tentative="0">
      <w:start w:val="22"/>
      <w:numFmt w:val="decimal"/>
      <w:lvlText w:val="%1"/>
      <w:lvlJc w:val="left"/>
      <w:pPr>
        <w:tabs>
          <w:tab w:val="left" w:pos="480"/>
        </w:tabs>
        <w:ind w:left="480" w:hanging="480"/>
      </w:pPr>
      <w:rPr>
        <w:rFonts w:hint="default" w:cs="Times New Roman"/>
      </w:rPr>
    </w:lvl>
    <w:lvl w:ilvl="1" w:tentative="0">
      <w:start w:val="1"/>
      <w:numFmt w:val="decimal"/>
      <w:lvlText w:val="25.%2"/>
      <w:lvlJc w:val="left"/>
      <w:pPr>
        <w:tabs>
          <w:tab w:val="left" w:pos="2542"/>
        </w:tabs>
        <w:ind w:left="2542" w:hanging="556"/>
      </w:pPr>
      <w:rPr>
        <w:rFonts w:hint="eastAsia" w:ascii="宋体" w:hAnsi="宋体" w:eastAsia="宋体"/>
        <w:b w:val="0"/>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48">
    <w:nsid w:val="57663821"/>
    <w:multiLevelType w:val="multilevel"/>
    <w:tmpl w:val="5766382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582F5904"/>
    <w:multiLevelType w:val="multilevel"/>
    <w:tmpl w:val="582F5904"/>
    <w:lvl w:ilvl="0" w:tentative="0">
      <w:start w:val="22"/>
      <w:numFmt w:val="decimal"/>
      <w:lvlText w:val="%1"/>
      <w:lvlJc w:val="left"/>
      <w:pPr>
        <w:tabs>
          <w:tab w:val="left" w:pos="480"/>
        </w:tabs>
        <w:ind w:left="480" w:hanging="480"/>
      </w:pPr>
      <w:rPr>
        <w:rFonts w:hint="default" w:cs="Times New Roman"/>
      </w:rPr>
    </w:lvl>
    <w:lvl w:ilvl="1" w:tentative="0">
      <w:start w:val="1"/>
      <w:numFmt w:val="decimal"/>
      <w:lvlText w:val="%2）"/>
      <w:lvlJc w:val="left"/>
      <w:pPr>
        <w:tabs>
          <w:tab w:val="left" w:pos="840"/>
        </w:tabs>
        <w:ind w:left="840" w:hanging="480"/>
      </w:pPr>
      <w:rPr>
        <w:rFonts w:hint="eastAsia"/>
        <w:b w:val="0"/>
        <w:i w:val="0"/>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50">
    <w:nsid w:val="5B10496E"/>
    <w:multiLevelType w:val="multilevel"/>
    <w:tmpl w:val="5B10496E"/>
    <w:lvl w:ilvl="0" w:tentative="0">
      <w:start w:val="1"/>
      <w:numFmt w:val="decimal"/>
      <w:lvlText w:val="20.%1"/>
      <w:lvlJc w:val="left"/>
      <w:pPr>
        <w:ind w:left="630" w:hanging="420"/>
      </w:pPr>
      <w:rPr>
        <w:rFonts w:hint="eastAsia"/>
        <w:b w:val="0"/>
        <w:sz w:val="21"/>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5B7E3398"/>
    <w:multiLevelType w:val="multilevel"/>
    <w:tmpl w:val="5B7E3398"/>
    <w:lvl w:ilvl="0" w:tentative="0">
      <w:start w:val="22"/>
      <w:numFmt w:val="decimal"/>
      <w:lvlText w:val="%1"/>
      <w:lvlJc w:val="left"/>
      <w:pPr>
        <w:tabs>
          <w:tab w:val="left" w:pos="480"/>
        </w:tabs>
        <w:ind w:left="480" w:hanging="480"/>
      </w:pPr>
      <w:rPr>
        <w:rFonts w:hint="default" w:cs="Times New Roman"/>
      </w:rPr>
    </w:lvl>
    <w:lvl w:ilvl="1" w:tentative="0">
      <w:start w:val="1"/>
      <w:numFmt w:val="decimal"/>
      <w:lvlText w:val="28.%2"/>
      <w:lvlJc w:val="left"/>
      <w:pPr>
        <w:tabs>
          <w:tab w:val="left" w:pos="840"/>
        </w:tabs>
        <w:ind w:left="840" w:hanging="480"/>
      </w:pPr>
      <w:rPr>
        <w:rFonts w:hint="eastAsia"/>
        <w:b w:val="0"/>
        <w:sz w:val="21"/>
        <w:szCs w:val="24"/>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52">
    <w:nsid w:val="5D2822A6"/>
    <w:multiLevelType w:val="multilevel"/>
    <w:tmpl w:val="5D2822A6"/>
    <w:lvl w:ilvl="0" w:tentative="0">
      <w:start w:val="1"/>
      <w:numFmt w:val="decimal"/>
      <w:lvlText w:val="14.%1"/>
      <w:lvlJc w:val="left"/>
      <w:pPr>
        <w:ind w:left="630" w:hanging="420"/>
      </w:pPr>
      <w:rPr>
        <w:rFonts w:hint="eastAsia"/>
        <w:sz w:val="21"/>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66F46D84"/>
    <w:multiLevelType w:val="multilevel"/>
    <w:tmpl w:val="66F46D84"/>
    <w:lvl w:ilvl="0" w:tentative="0">
      <w:start w:val="1"/>
      <w:numFmt w:val="decimal"/>
      <w:lvlText w:val="%1)"/>
      <w:lvlJc w:val="left"/>
      <w:pPr>
        <w:tabs>
          <w:tab w:val="left" w:pos="720"/>
        </w:tabs>
        <w:ind w:left="720" w:hanging="360"/>
      </w:pPr>
      <w:rPr>
        <w:rFonts w:hint="default" w:cs="Times New Roman"/>
      </w:rPr>
    </w:lvl>
    <w:lvl w:ilvl="1" w:tentative="0">
      <w:start w:val="1"/>
      <w:numFmt w:val="japaneseCounting"/>
      <w:lvlText w:val="%2、"/>
      <w:lvlJc w:val="left"/>
      <w:pPr>
        <w:tabs>
          <w:tab w:val="left" w:pos="720"/>
        </w:tabs>
        <w:ind w:left="720" w:hanging="465"/>
      </w:pPr>
      <w:rPr>
        <w:rFonts w:hint="default" w:cs="黑体"/>
      </w:rPr>
    </w:lvl>
    <w:lvl w:ilvl="2" w:tentative="0">
      <w:start w:val="1"/>
      <w:numFmt w:val="decimal"/>
      <w:lvlText w:val="%3)"/>
      <w:lvlJc w:val="left"/>
      <w:pPr>
        <w:tabs>
          <w:tab w:val="left" w:pos="915"/>
        </w:tabs>
        <w:ind w:left="915" w:hanging="240"/>
      </w:pPr>
      <w:rPr>
        <w:rFonts w:hint="default" w:cs="Times New Roman"/>
      </w:rPr>
    </w:lvl>
    <w:lvl w:ilvl="3" w:tentative="0">
      <w:start w:val="1"/>
      <w:numFmt w:val="decimal"/>
      <w:lvlText w:val="%4）"/>
      <w:lvlJc w:val="left"/>
      <w:pPr>
        <w:tabs>
          <w:tab w:val="left" w:pos="1455"/>
        </w:tabs>
        <w:ind w:left="1455" w:hanging="360"/>
      </w:pPr>
      <w:rPr>
        <w:rFonts w:hint="default" w:cs="Times New Roman"/>
      </w:rPr>
    </w:lvl>
    <w:lvl w:ilvl="4" w:tentative="0">
      <w:start w:val="4"/>
      <w:numFmt w:val="decimal"/>
      <w:lvlText w:val="%5．"/>
      <w:lvlJc w:val="left"/>
      <w:pPr>
        <w:tabs>
          <w:tab w:val="left" w:pos="1875"/>
        </w:tabs>
        <w:ind w:left="1875" w:hanging="360"/>
      </w:pPr>
      <w:rPr>
        <w:rFonts w:hint="default" w:cs="Times New Roman"/>
      </w:rPr>
    </w:lvl>
    <w:lvl w:ilvl="5" w:tentative="0">
      <w:start w:val="1"/>
      <w:numFmt w:val="lowerRoman"/>
      <w:lvlText w:val="%6."/>
      <w:lvlJc w:val="right"/>
      <w:pPr>
        <w:tabs>
          <w:tab w:val="left" w:pos="2355"/>
        </w:tabs>
        <w:ind w:left="2355" w:hanging="420"/>
      </w:pPr>
      <w:rPr>
        <w:rFonts w:cs="Times New Roman"/>
      </w:rPr>
    </w:lvl>
    <w:lvl w:ilvl="6" w:tentative="0">
      <w:start w:val="1"/>
      <w:numFmt w:val="decimal"/>
      <w:lvlText w:val="%7."/>
      <w:lvlJc w:val="left"/>
      <w:pPr>
        <w:tabs>
          <w:tab w:val="left" w:pos="2775"/>
        </w:tabs>
        <w:ind w:left="2775" w:hanging="420"/>
      </w:pPr>
      <w:rPr>
        <w:rFonts w:cs="Times New Roman"/>
      </w:rPr>
    </w:lvl>
    <w:lvl w:ilvl="7" w:tentative="0">
      <w:start w:val="1"/>
      <w:numFmt w:val="lowerLetter"/>
      <w:lvlText w:val="%8)"/>
      <w:lvlJc w:val="left"/>
      <w:pPr>
        <w:tabs>
          <w:tab w:val="left" w:pos="3195"/>
        </w:tabs>
        <w:ind w:left="3195" w:hanging="420"/>
      </w:pPr>
      <w:rPr>
        <w:rFonts w:cs="Times New Roman"/>
      </w:rPr>
    </w:lvl>
    <w:lvl w:ilvl="8" w:tentative="0">
      <w:start w:val="1"/>
      <w:numFmt w:val="lowerRoman"/>
      <w:lvlText w:val="%9."/>
      <w:lvlJc w:val="right"/>
      <w:pPr>
        <w:tabs>
          <w:tab w:val="left" w:pos="3615"/>
        </w:tabs>
        <w:ind w:left="3615" w:hanging="420"/>
      </w:pPr>
      <w:rPr>
        <w:rFonts w:cs="Times New Roman"/>
      </w:rPr>
    </w:lvl>
  </w:abstractNum>
  <w:abstractNum w:abstractNumId="54">
    <w:nsid w:val="67CB2786"/>
    <w:multiLevelType w:val="multilevel"/>
    <w:tmpl w:val="67CB2786"/>
    <w:lvl w:ilvl="0" w:tentative="0">
      <w:start w:val="1"/>
      <w:numFmt w:val="decimal"/>
      <w:lvlText w:val="15.%1"/>
      <w:lvlJc w:val="left"/>
      <w:pPr>
        <w:ind w:left="630" w:hanging="420"/>
      </w:pPr>
      <w:rPr>
        <w:rFonts w:hint="eastAsia"/>
        <w:sz w:val="21"/>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6B1377B2"/>
    <w:multiLevelType w:val="multilevel"/>
    <w:tmpl w:val="6B1377B2"/>
    <w:lvl w:ilvl="0" w:tentative="0">
      <w:start w:val="1"/>
      <w:numFmt w:val="decimal"/>
      <w:lvlText w:val="%1."/>
      <w:lvlJc w:val="left"/>
      <w:pPr>
        <w:ind w:left="840" w:hanging="420"/>
      </w:pPr>
      <w:rPr>
        <w:rFonts w:hint="eastAsia"/>
        <w:color w:val="000000" w:themeColor="text1"/>
        <w14:textFill>
          <w14:solidFill>
            <w14:schemeClr w14:val="tx1"/>
          </w14:solidFill>
        </w14:textFill>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6">
    <w:nsid w:val="6CAD64F9"/>
    <w:multiLevelType w:val="multilevel"/>
    <w:tmpl w:val="6CAD64F9"/>
    <w:lvl w:ilvl="0" w:tentative="0">
      <w:start w:val="1"/>
      <w:numFmt w:val="decimal"/>
      <w:lvlText w:val="%1. "/>
      <w:lvlJc w:val="left"/>
      <w:pPr>
        <w:ind w:left="640" w:hanging="420"/>
      </w:pPr>
      <w:rPr>
        <w:rFonts w:hint="eastAsia"/>
        <w:b w:val="0"/>
      </w:rPr>
    </w:lvl>
    <w:lvl w:ilvl="1" w:tentative="0">
      <w:start w:val="1"/>
      <w:numFmt w:val="lowerLetter"/>
      <w:lvlText w:val="%2)"/>
      <w:lvlJc w:val="left"/>
      <w:pPr>
        <w:ind w:left="1060" w:hanging="420"/>
      </w:pPr>
    </w:lvl>
    <w:lvl w:ilvl="2" w:tentative="0">
      <w:start w:val="1"/>
      <w:numFmt w:val="lowerRoman"/>
      <w:lvlText w:val="%3."/>
      <w:lvlJc w:val="right"/>
      <w:pPr>
        <w:ind w:left="1480" w:hanging="420"/>
      </w:pPr>
    </w:lvl>
    <w:lvl w:ilvl="3" w:tentative="0">
      <w:start w:val="1"/>
      <w:numFmt w:val="decimal"/>
      <w:lvlText w:val="%4."/>
      <w:lvlJc w:val="left"/>
      <w:pPr>
        <w:ind w:left="1900" w:hanging="420"/>
      </w:pPr>
    </w:lvl>
    <w:lvl w:ilvl="4" w:tentative="0">
      <w:start w:val="1"/>
      <w:numFmt w:val="lowerLetter"/>
      <w:lvlText w:val="%5)"/>
      <w:lvlJc w:val="left"/>
      <w:pPr>
        <w:ind w:left="2320" w:hanging="420"/>
      </w:pPr>
    </w:lvl>
    <w:lvl w:ilvl="5" w:tentative="0">
      <w:start w:val="1"/>
      <w:numFmt w:val="lowerRoman"/>
      <w:lvlText w:val="%6."/>
      <w:lvlJc w:val="right"/>
      <w:pPr>
        <w:ind w:left="2740" w:hanging="420"/>
      </w:pPr>
    </w:lvl>
    <w:lvl w:ilvl="6" w:tentative="0">
      <w:start w:val="1"/>
      <w:numFmt w:val="decimal"/>
      <w:lvlText w:val="%7."/>
      <w:lvlJc w:val="left"/>
      <w:pPr>
        <w:ind w:left="3160" w:hanging="420"/>
      </w:pPr>
    </w:lvl>
    <w:lvl w:ilvl="7" w:tentative="0">
      <w:start w:val="1"/>
      <w:numFmt w:val="lowerLetter"/>
      <w:lvlText w:val="%8)"/>
      <w:lvlJc w:val="left"/>
      <w:pPr>
        <w:ind w:left="3580" w:hanging="420"/>
      </w:pPr>
    </w:lvl>
    <w:lvl w:ilvl="8" w:tentative="0">
      <w:start w:val="1"/>
      <w:numFmt w:val="lowerRoman"/>
      <w:lvlText w:val="%9."/>
      <w:lvlJc w:val="right"/>
      <w:pPr>
        <w:ind w:left="4000" w:hanging="420"/>
      </w:pPr>
    </w:lvl>
  </w:abstractNum>
  <w:abstractNum w:abstractNumId="57">
    <w:nsid w:val="6CCB0365"/>
    <w:multiLevelType w:val="multilevel"/>
    <w:tmpl w:val="6CCB0365"/>
    <w:lvl w:ilvl="0" w:tentative="0">
      <w:start w:val="22"/>
      <w:numFmt w:val="decimal"/>
      <w:lvlText w:val="25.2.%1"/>
      <w:lvlJc w:val="left"/>
      <w:pPr>
        <w:tabs>
          <w:tab w:val="left" w:pos="480"/>
        </w:tabs>
        <w:ind w:left="480" w:hanging="480"/>
      </w:pPr>
      <w:rPr>
        <w:rFonts w:hint="eastAsia"/>
      </w:rPr>
    </w:lvl>
    <w:lvl w:ilvl="1" w:tentative="0">
      <w:start w:val="1"/>
      <w:numFmt w:val="decimal"/>
      <w:lvlText w:val="27.%2"/>
      <w:lvlJc w:val="left"/>
      <w:pPr>
        <w:tabs>
          <w:tab w:val="left" w:pos="840"/>
        </w:tabs>
        <w:ind w:left="840" w:hanging="480"/>
      </w:pPr>
      <w:rPr>
        <w:rFonts w:hint="eastAsia"/>
        <w:b w:val="0"/>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58">
    <w:nsid w:val="6FF6072B"/>
    <w:multiLevelType w:val="multilevel"/>
    <w:tmpl w:val="6FF6072B"/>
    <w:lvl w:ilvl="0" w:tentative="0">
      <w:start w:val="1"/>
      <w:numFmt w:val="decimal"/>
      <w:lvlText w:val="%1)"/>
      <w:lvlJc w:val="left"/>
      <w:pPr>
        <w:ind w:left="860" w:hanging="420"/>
      </w:pPr>
      <w:rPr>
        <w:rFonts w:hint="eastAsia"/>
        <w:sz w:val="21"/>
        <w:szCs w:val="21"/>
        <w:lang w:val="en-US"/>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59">
    <w:nsid w:val="751D1D71"/>
    <w:multiLevelType w:val="multilevel"/>
    <w:tmpl w:val="751D1D71"/>
    <w:lvl w:ilvl="0" w:tentative="0">
      <w:start w:val="1"/>
      <w:numFmt w:val="decimal"/>
      <w:lvlText w:val="21.%1"/>
      <w:lvlJc w:val="left"/>
      <w:pPr>
        <w:ind w:left="630" w:hanging="420"/>
      </w:pPr>
      <w:rPr>
        <w:rFonts w:hint="eastAsia"/>
        <w:sz w:val="21"/>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762D7317"/>
    <w:multiLevelType w:val="multilevel"/>
    <w:tmpl w:val="762D7317"/>
    <w:lvl w:ilvl="0" w:tentative="0">
      <w:start w:val="22"/>
      <w:numFmt w:val="decimal"/>
      <w:lvlText w:val="%1"/>
      <w:lvlJc w:val="left"/>
      <w:pPr>
        <w:tabs>
          <w:tab w:val="left" w:pos="480"/>
        </w:tabs>
        <w:ind w:left="480" w:hanging="480"/>
      </w:pPr>
      <w:rPr>
        <w:rFonts w:hint="default" w:cs="Times New Roman"/>
      </w:rPr>
    </w:lvl>
    <w:lvl w:ilvl="1" w:tentative="0">
      <w:start w:val="1"/>
      <w:numFmt w:val="decimal"/>
      <w:lvlText w:val="23.%2"/>
      <w:lvlJc w:val="left"/>
      <w:pPr>
        <w:tabs>
          <w:tab w:val="left" w:pos="840"/>
        </w:tabs>
        <w:ind w:left="840" w:hanging="480"/>
      </w:pPr>
      <w:rPr>
        <w:rFonts w:hint="eastAsia" w:ascii="宋体" w:hAnsi="宋体" w:eastAsia="宋体"/>
        <w:b w:val="0"/>
        <w:sz w:val="21"/>
        <w:szCs w:val="21"/>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61">
    <w:nsid w:val="774C7C21"/>
    <w:multiLevelType w:val="multilevel"/>
    <w:tmpl w:val="774C7C21"/>
    <w:lvl w:ilvl="0" w:tentative="0">
      <w:start w:val="1"/>
      <w:numFmt w:val="decimal"/>
      <w:lvlText w:val="16.%1"/>
      <w:lvlJc w:val="left"/>
      <w:pPr>
        <w:ind w:left="420" w:hanging="420"/>
      </w:pPr>
      <w:rPr>
        <w:rFonts w:hint="eastAsia"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79F631CA"/>
    <w:multiLevelType w:val="multilevel"/>
    <w:tmpl w:val="79F631CA"/>
    <w:lvl w:ilvl="0" w:tentative="0">
      <w:start w:val="1"/>
      <w:numFmt w:val="decimal"/>
      <w:lvlText w:val="%1、"/>
      <w:lvlJc w:val="left"/>
      <w:pPr>
        <w:ind w:left="562" w:hanging="420"/>
      </w:pPr>
      <w:rPr>
        <w:rFonts w:hint="default" w:ascii="宋体" w:hAnsi="宋体" w:eastAsia="宋体" w:cs="Calibri"/>
        <w:b w:val="0"/>
        <w:i w:val="0"/>
        <w:strike w:val="0"/>
        <w:dstrike w:val="0"/>
        <w:color w:val="000000"/>
        <w:sz w:val="24"/>
        <w:szCs w:val="24"/>
        <w:u w:val="none" w:color="000000"/>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55"/>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9"/>
  </w:num>
  <w:num w:numId="15">
    <w:abstractNumId w:val="2"/>
  </w:num>
  <w:num w:numId="16">
    <w:abstractNumId w:val="40"/>
  </w:num>
  <w:num w:numId="17">
    <w:abstractNumId w:val="12"/>
  </w:num>
  <w:num w:numId="18">
    <w:abstractNumId w:val="19"/>
  </w:num>
  <w:num w:numId="19">
    <w:abstractNumId w:val="22"/>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52"/>
  </w:num>
  <w:num w:numId="24">
    <w:abstractNumId w:val="54"/>
  </w:num>
  <w:num w:numId="2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53"/>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29">
    <w:abstractNumId w:val="50"/>
  </w:num>
  <w:num w:numId="30">
    <w:abstractNumId w:val="59"/>
  </w:num>
  <w:num w:numId="31">
    <w:abstractNumId w:val="8"/>
  </w:num>
  <w:num w:numId="32">
    <w:abstractNumId w:val="58"/>
  </w:num>
  <w:num w:numId="33">
    <w:abstractNumId w:val="43"/>
  </w:num>
  <w:num w:numId="34">
    <w:abstractNumId w:val="38"/>
  </w:num>
  <w:num w:numId="35">
    <w:abstractNumId w:val="6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3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5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43">
    <w:abstractNumId w:val="5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7"/>
  </w:num>
  <w:num w:numId="47">
    <w:abstractNumId w:val="45"/>
  </w:num>
  <w:num w:numId="48">
    <w:abstractNumId w:val="48"/>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num>
  <w:num w:numId="51">
    <w:abstractNumId w:val="15"/>
  </w:num>
  <w:num w:numId="52">
    <w:abstractNumId w:val="33"/>
  </w:num>
  <w:num w:numId="53">
    <w:abstractNumId w:val="29"/>
  </w:num>
  <w:num w:numId="54">
    <w:abstractNumId w:val="5"/>
  </w:num>
  <w:num w:numId="55">
    <w:abstractNumId w:val="0"/>
  </w:num>
  <w:num w:numId="56">
    <w:abstractNumId w:val="56"/>
  </w:num>
  <w:num w:numId="57">
    <w:abstractNumId w:val="1"/>
  </w:num>
  <w:num w:numId="58">
    <w:abstractNumId w:val="32"/>
  </w:num>
  <w:num w:numId="59">
    <w:abstractNumId w:val="25"/>
  </w:num>
  <w:num w:numId="60">
    <w:abstractNumId w:val="36"/>
  </w:num>
  <w:num w:numId="61">
    <w:abstractNumId w:val="62"/>
  </w:num>
  <w:num w:numId="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标段编号" w:val="${标段编号}"/>
    <w:docVar w:name="标段名称" w:val="${标段名称}"/>
    <w:docVar w:name="招标机构名称" w:val="${招标机构名称}"/>
    <w:docVar w:name="招标人名称" w:val="${招标人名称}"/>
    <w:docVar w:name="招标项目编号" w:val="${招标项目编号}"/>
  </w:docVars>
  <w:rsids>
    <w:rsidRoot w:val="00E81F67"/>
    <w:rsid w:val="00001D65"/>
    <w:rsid w:val="000022B8"/>
    <w:rsid w:val="000029D1"/>
    <w:rsid w:val="00003349"/>
    <w:rsid w:val="000037AD"/>
    <w:rsid w:val="000132E8"/>
    <w:rsid w:val="000141B6"/>
    <w:rsid w:val="000144BD"/>
    <w:rsid w:val="00022515"/>
    <w:rsid w:val="00022DF2"/>
    <w:rsid w:val="00022E12"/>
    <w:rsid w:val="0002388C"/>
    <w:rsid w:val="00025A53"/>
    <w:rsid w:val="00025ACC"/>
    <w:rsid w:val="00032D44"/>
    <w:rsid w:val="000353EC"/>
    <w:rsid w:val="00037F6F"/>
    <w:rsid w:val="00040B59"/>
    <w:rsid w:val="000439C8"/>
    <w:rsid w:val="00044E9E"/>
    <w:rsid w:val="00045306"/>
    <w:rsid w:val="00046996"/>
    <w:rsid w:val="0004736A"/>
    <w:rsid w:val="00047801"/>
    <w:rsid w:val="00050B62"/>
    <w:rsid w:val="00052C05"/>
    <w:rsid w:val="000563CA"/>
    <w:rsid w:val="00056CDB"/>
    <w:rsid w:val="0006190F"/>
    <w:rsid w:val="00062C8B"/>
    <w:rsid w:val="00063491"/>
    <w:rsid w:val="00067103"/>
    <w:rsid w:val="00072596"/>
    <w:rsid w:val="00077EFA"/>
    <w:rsid w:val="000801CA"/>
    <w:rsid w:val="00081B2F"/>
    <w:rsid w:val="00082A3E"/>
    <w:rsid w:val="00084917"/>
    <w:rsid w:val="0008787B"/>
    <w:rsid w:val="0009130D"/>
    <w:rsid w:val="00094310"/>
    <w:rsid w:val="00094968"/>
    <w:rsid w:val="00095AF8"/>
    <w:rsid w:val="00097D93"/>
    <w:rsid w:val="000A0A9D"/>
    <w:rsid w:val="000A1555"/>
    <w:rsid w:val="000A6FD1"/>
    <w:rsid w:val="000B055F"/>
    <w:rsid w:val="000B1971"/>
    <w:rsid w:val="000B28FD"/>
    <w:rsid w:val="000B2DAE"/>
    <w:rsid w:val="000B5349"/>
    <w:rsid w:val="000B5D6F"/>
    <w:rsid w:val="000B7BB8"/>
    <w:rsid w:val="000C0046"/>
    <w:rsid w:val="000C2575"/>
    <w:rsid w:val="000C362D"/>
    <w:rsid w:val="000C71ED"/>
    <w:rsid w:val="000D3C51"/>
    <w:rsid w:val="000D4AF4"/>
    <w:rsid w:val="000D7171"/>
    <w:rsid w:val="000D7680"/>
    <w:rsid w:val="000E50CD"/>
    <w:rsid w:val="000E5EE3"/>
    <w:rsid w:val="000E6D9F"/>
    <w:rsid w:val="000E7EBC"/>
    <w:rsid w:val="000F143F"/>
    <w:rsid w:val="000F1E41"/>
    <w:rsid w:val="000F28DD"/>
    <w:rsid w:val="000F3199"/>
    <w:rsid w:val="000F374D"/>
    <w:rsid w:val="000F43C0"/>
    <w:rsid w:val="000F4CCF"/>
    <w:rsid w:val="000F6A17"/>
    <w:rsid w:val="000F7775"/>
    <w:rsid w:val="0010310B"/>
    <w:rsid w:val="00104E12"/>
    <w:rsid w:val="00105AEC"/>
    <w:rsid w:val="00110E4A"/>
    <w:rsid w:val="001128C8"/>
    <w:rsid w:val="00114FC7"/>
    <w:rsid w:val="00122853"/>
    <w:rsid w:val="0012638A"/>
    <w:rsid w:val="001273B3"/>
    <w:rsid w:val="00127845"/>
    <w:rsid w:val="0013598C"/>
    <w:rsid w:val="00137D18"/>
    <w:rsid w:val="00142B96"/>
    <w:rsid w:val="001446BF"/>
    <w:rsid w:val="001504DB"/>
    <w:rsid w:val="001510C8"/>
    <w:rsid w:val="001558C4"/>
    <w:rsid w:val="00156238"/>
    <w:rsid w:val="0015742D"/>
    <w:rsid w:val="00160687"/>
    <w:rsid w:val="0016254C"/>
    <w:rsid w:val="00163959"/>
    <w:rsid w:val="0016399A"/>
    <w:rsid w:val="00163E70"/>
    <w:rsid w:val="001654DF"/>
    <w:rsid w:val="00166721"/>
    <w:rsid w:val="00166A62"/>
    <w:rsid w:val="00167061"/>
    <w:rsid w:val="001714DB"/>
    <w:rsid w:val="00174723"/>
    <w:rsid w:val="00175360"/>
    <w:rsid w:val="001777D6"/>
    <w:rsid w:val="00191D9C"/>
    <w:rsid w:val="00195711"/>
    <w:rsid w:val="001A2978"/>
    <w:rsid w:val="001A3FB3"/>
    <w:rsid w:val="001A5F24"/>
    <w:rsid w:val="001B0DEF"/>
    <w:rsid w:val="001B0FF9"/>
    <w:rsid w:val="001B479B"/>
    <w:rsid w:val="001B7F68"/>
    <w:rsid w:val="001C5826"/>
    <w:rsid w:val="001C7450"/>
    <w:rsid w:val="001D073B"/>
    <w:rsid w:val="001D0A82"/>
    <w:rsid w:val="001D3A1E"/>
    <w:rsid w:val="001D3A94"/>
    <w:rsid w:val="001E3D35"/>
    <w:rsid w:val="001E3E98"/>
    <w:rsid w:val="001E51DB"/>
    <w:rsid w:val="001E7D4C"/>
    <w:rsid w:val="001E7D66"/>
    <w:rsid w:val="001F2317"/>
    <w:rsid w:val="001F2C71"/>
    <w:rsid w:val="001F6195"/>
    <w:rsid w:val="002013BA"/>
    <w:rsid w:val="00203903"/>
    <w:rsid w:val="00211432"/>
    <w:rsid w:val="00213D6A"/>
    <w:rsid w:val="00214C6E"/>
    <w:rsid w:val="00214F13"/>
    <w:rsid w:val="002157A0"/>
    <w:rsid w:val="00216CEC"/>
    <w:rsid w:val="00217CB9"/>
    <w:rsid w:val="0022072E"/>
    <w:rsid w:val="00221852"/>
    <w:rsid w:val="00231E66"/>
    <w:rsid w:val="002336DA"/>
    <w:rsid w:val="0023571D"/>
    <w:rsid w:val="00235B00"/>
    <w:rsid w:val="0024004C"/>
    <w:rsid w:val="0024105F"/>
    <w:rsid w:val="00242F2C"/>
    <w:rsid w:val="002439B5"/>
    <w:rsid w:val="00245C8B"/>
    <w:rsid w:val="00250836"/>
    <w:rsid w:val="0025586B"/>
    <w:rsid w:val="00257F49"/>
    <w:rsid w:val="00264340"/>
    <w:rsid w:val="00264651"/>
    <w:rsid w:val="00264E9A"/>
    <w:rsid w:val="0028225F"/>
    <w:rsid w:val="00282302"/>
    <w:rsid w:val="002855C9"/>
    <w:rsid w:val="00287063"/>
    <w:rsid w:val="00292FE3"/>
    <w:rsid w:val="00293540"/>
    <w:rsid w:val="00293735"/>
    <w:rsid w:val="00296114"/>
    <w:rsid w:val="00296F82"/>
    <w:rsid w:val="002A5BAD"/>
    <w:rsid w:val="002A668E"/>
    <w:rsid w:val="002B7F21"/>
    <w:rsid w:val="002D11F9"/>
    <w:rsid w:val="002D170D"/>
    <w:rsid w:val="002D26D9"/>
    <w:rsid w:val="002D5FDF"/>
    <w:rsid w:val="002D6718"/>
    <w:rsid w:val="002D70CD"/>
    <w:rsid w:val="002D769A"/>
    <w:rsid w:val="002E26FE"/>
    <w:rsid w:val="002E6E01"/>
    <w:rsid w:val="002F0AE4"/>
    <w:rsid w:val="002F1711"/>
    <w:rsid w:val="002F1929"/>
    <w:rsid w:val="002F4C44"/>
    <w:rsid w:val="002F59F2"/>
    <w:rsid w:val="002F75DC"/>
    <w:rsid w:val="002F77B1"/>
    <w:rsid w:val="002F7858"/>
    <w:rsid w:val="002F7C93"/>
    <w:rsid w:val="00300554"/>
    <w:rsid w:val="00300714"/>
    <w:rsid w:val="003064F6"/>
    <w:rsid w:val="00307DE0"/>
    <w:rsid w:val="003102F2"/>
    <w:rsid w:val="00312211"/>
    <w:rsid w:val="003124DF"/>
    <w:rsid w:val="00313019"/>
    <w:rsid w:val="00314D10"/>
    <w:rsid w:val="003159B5"/>
    <w:rsid w:val="0031646A"/>
    <w:rsid w:val="00316E43"/>
    <w:rsid w:val="00317DAC"/>
    <w:rsid w:val="00317E5E"/>
    <w:rsid w:val="00320716"/>
    <w:rsid w:val="00323E4A"/>
    <w:rsid w:val="00325808"/>
    <w:rsid w:val="0032615F"/>
    <w:rsid w:val="00330056"/>
    <w:rsid w:val="00331A8F"/>
    <w:rsid w:val="0033230C"/>
    <w:rsid w:val="003328F4"/>
    <w:rsid w:val="00332A5F"/>
    <w:rsid w:val="003334EF"/>
    <w:rsid w:val="003339D9"/>
    <w:rsid w:val="00334162"/>
    <w:rsid w:val="00334A1D"/>
    <w:rsid w:val="0033512B"/>
    <w:rsid w:val="00336F1D"/>
    <w:rsid w:val="00344312"/>
    <w:rsid w:val="00345934"/>
    <w:rsid w:val="003500EB"/>
    <w:rsid w:val="00351D9C"/>
    <w:rsid w:val="003546B3"/>
    <w:rsid w:val="00355D0C"/>
    <w:rsid w:val="003566CC"/>
    <w:rsid w:val="0035705B"/>
    <w:rsid w:val="00363B64"/>
    <w:rsid w:val="003648E5"/>
    <w:rsid w:val="003656A5"/>
    <w:rsid w:val="00366DB8"/>
    <w:rsid w:val="00367AAF"/>
    <w:rsid w:val="003704EA"/>
    <w:rsid w:val="00370DE8"/>
    <w:rsid w:val="00373E00"/>
    <w:rsid w:val="0038231A"/>
    <w:rsid w:val="003824AE"/>
    <w:rsid w:val="0039154B"/>
    <w:rsid w:val="003923E5"/>
    <w:rsid w:val="00392A51"/>
    <w:rsid w:val="0039381C"/>
    <w:rsid w:val="00393CBF"/>
    <w:rsid w:val="0039737B"/>
    <w:rsid w:val="003A1259"/>
    <w:rsid w:val="003A1D9B"/>
    <w:rsid w:val="003A31FF"/>
    <w:rsid w:val="003A573D"/>
    <w:rsid w:val="003A5DD3"/>
    <w:rsid w:val="003A7925"/>
    <w:rsid w:val="003B2FC9"/>
    <w:rsid w:val="003B326F"/>
    <w:rsid w:val="003B3837"/>
    <w:rsid w:val="003B4B59"/>
    <w:rsid w:val="003B5BBC"/>
    <w:rsid w:val="003B6090"/>
    <w:rsid w:val="003B6A85"/>
    <w:rsid w:val="003B6EF4"/>
    <w:rsid w:val="003C16E5"/>
    <w:rsid w:val="003C2DD8"/>
    <w:rsid w:val="003C3B90"/>
    <w:rsid w:val="003D4312"/>
    <w:rsid w:val="003E2B1A"/>
    <w:rsid w:val="003E334B"/>
    <w:rsid w:val="003F19B2"/>
    <w:rsid w:val="003F59D5"/>
    <w:rsid w:val="003F7B54"/>
    <w:rsid w:val="00400CEC"/>
    <w:rsid w:val="004024B9"/>
    <w:rsid w:val="0040255B"/>
    <w:rsid w:val="00404E9F"/>
    <w:rsid w:val="00405FCF"/>
    <w:rsid w:val="00411520"/>
    <w:rsid w:val="004116E1"/>
    <w:rsid w:val="004124E1"/>
    <w:rsid w:val="00412AE3"/>
    <w:rsid w:val="0041385F"/>
    <w:rsid w:val="0041423A"/>
    <w:rsid w:val="0042124B"/>
    <w:rsid w:val="00422ACC"/>
    <w:rsid w:val="00423C03"/>
    <w:rsid w:val="00427986"/>
    <w:rsid w:val="00433025"/>
    <w:rsid w:val="00435EBE"/>
    <w:rsid w:val="00437004"/>
    <w:rsid w:val="00441C65"/>
    <w:rsid w:val="0044349B"/>
    <w:rsid w:val="00447492"/>
    <w:rsid w:val="00456C18"/>
    <w:rsid w:val="0046111A"/>
    <w:rsid w:val="00461314"/>
    <w:rsid w:val="00466ADF"/>
    <w:rsid w:val="00473406"/>
    <w:rsid w:val="00473BB3"/>
    <w:rsid w:val="00475054"/>
    <w:rsid w:val="00481729"/>
    <w:rsid w:val="00483601"/>
    <w:rsid w:val="00483D90"/>
    <w:rsid w:val="00490184"/>
    <w:rsid w:val="00491C5F"/>
    <w:rsid w:val="00492F04"/>
    <w:rsid w:val="004933D8"/>
    <w:rsid w:val="00494C57"/>
    <w:rsid w:val="00497C2C"/>
    <w:rsid w:val="004A150B"/>
    <w:rsid w:val="004A153F"/>
    <w:rsid w:val="004A3132"/>
    <w:rsid w:val="004A4491"/>
    <w:rsid w:val="004A522B"/>
    <w:rsid w:val="004A7012"/>
    <w:rsid w:val="004B1222"/>
    <w:rsid w:val="004B212A"/>
    <w:rsid w:val="004B22A5"/>
    <w:rsid w:val="004C042B"/>
    <w:rsid w:val="004C2945"/>
    <w:rsid w:val="004C3E7E"/>
    <w:rsid w:val="004C5BC8"/>
    <w:rsid w:val="004C5DDE"/>
    <w:rsid w:val="004D34A5"/>
    <w:rsid w:val="004D561C"/>
    <w:rsid w:val="004E0875"/>
    <w:rsid w:val="004E2E71"/>
    <w:rsid w:val="004E3BB2"/>
    <w:rsid w:val="004E464A"/>
    <w:rsid w:val="004E4711"/>
    <w:rsid w:val="004E652E"/>
    <w:rsid w:val="004E74AD"/>
    <w:rsid w:val="004E7A4F"/>
    <w:rsid w:val="004F2D62"/>
    <w:rsid w:val="004F2F33"/>
    <w:rsid w:val="004F3677"/>
    <w:rsid w:val="004F4A8E"/>
    <w:rsid w:val="004F5F47"/>
    <w:rsid w:val="004F658D"/>
    <w:rsid w:val="004F6FE7"/>
    <w:rsid w:val="00501D04"/>
    <w:rsid w:val="0050381D"/>
    <w:rsid w:val="005061EA"/>
    <w:rsid w:val="00506E73"/>
    <w:rsid w:val="005113AF"/>
    <w:rsid w:val="005130C6"/>
    <w:rsid w:val="005221D1"/>
    <w:rsid w:val="0052458F"/>
    <w:rsid w:val="00524CBF"/>
    <w:rsid w:val="005251F8"/>
    <w:rsid w:val="0052556E"/>
    <w:rsid w:val="00526272"/>
    <w:rsid w:val="00526E43"/>
    <w:rsid w:val="00531416"/>
    <w:rsid w:val="00531D8D"/>
    <w:rsid w:val="00532B12"/>
    <w:rsid w:val="00534182"/>
    <w:rsid w:val="00541515"/>
    <w:rsid w:val="00542491"/>
    <w:rsid w:val="005436B9"/>
    <w:rsid w:val="005444CB"/>
    <w:rsid w:val="00544AF2"/>
    <w:rsid w:val="00550873"/>
    <w:rsid w:val="00550AD3"/>
    <w:rsid w:val="00551265"/>
    <w:rsid w:val="00552522"/>
    <w:rsid w:val="005531B9"/>
    <w:rsid w:val="0055488F"/>
    <w:rsid w:val="0056283C"/>
    <w:rsid w:val="005658B3"/>
    <w:rsid w:val="00565AE0"/>
    <w:rsid w:val="005708CD"/>
    <w:rsid w:val="005722F2"/>
    <w:rsid w:val="00573332"/>
    <w:rsid w:val="00573E8F"/>
    <w:rsid w:val="0057576D"/>
    <w:rsid w:val="00575961"/>
    <w:rsid w:val="005815C6"/>
    <w:rsid w:val="0058184E"/>
    <w:rsid w:val="005826E3"/>
    <w:rsid w:val="005829B9"/>
    <w:rsid w:val="00583785"/>
    <w:rsid w:val="00583C65"/>
    <w:rsid w:val="0058552C"/>
    <w:rsid w:val="00590E06"/>
    <w:rsid w:val="00591FCA"/>
    <w:rsid w:val="005934B7"/>
    <w:rsid w:val="00593600"/>
    <w:rsid w:val="00595219"/>
    <w:rsid w:val="00595EEA"/>
    <w:rsid w:val="005A12DB"/>
    <w:rsid w:val="005A143F"/>
    <w:rsid w:val="005A2E50"/>
    <w:rsid w:val="005A60F2"/>
    <w:rsid w:val="005B1DA4"/>
    <w:rsid w:val="005B4480"/>
    <w:rsid w:val="005B5478"/>
    <w:rsid w:val="005B57EE"/>
    <w:rsid w:val="005B5EC6"/>
    <w:rsid w:val="005B7BCA"/>
    <w:rsid w:val="005C1C29"/>
    <w:rsid w:val="005C2839"/>
    <w:rsid w:val="005C5083"/>
    <w:rsid w:val="005C5A71"/>
    <w:rsid w:val="005C60D3"/>
    <w:rsid w:val="005D36EE"/>
    <w:rsid w:val="005E6C72"/>
    <w:rsid w:val="005F0BE3"/>
    <w:rsid w:val="00600FD0"/>
    <w:rsid w:val="006055AD"/>
    <w:rsid w:val="00607075"/>
    <w:rsid w:val="006134CE"/>
    <w:rsid w:val="00614390"/>
    <w:rsid w:val="006146C1"/>
    <w:rsid w:val="006160F6"/>
    <w:rsid w:val="00617DC9"/>
    <w:rsid w:val="00620370"/>
    <w:rsid w:val="0062150C"/>
    <w:rsid w:val="00625483"/>
    <w:rsid w:val="00627193"/>
    <w:rsid w:val="00630035"/>
    <w:rsid w:val="00630B5B"/>
    <w:rsid w:val="00631434"/>
    <w:rsid w:val="00631BAA"/>
    <w:rsid w:val="006344F8"/>
    <w:rsid w:val="006356BD"/>
    <w:rsid w:val="00637846"/>
    <w:rsid w:val="00640BC6"/>
    <w:rsid w:val="00640FA2"/>
    <w:rsid w:val="006411CD"/>
    <w:rsid w:val="00642552"/>
    <w:rsid w:val="0064289D"/>
    <w:rsid w:val="00643A2B"/>
    <w:rsid w:val="006444DE"/>
    <w:rsid w:val="00644E5D"/>
    <w:rsid w:val="00646E28"/>
    <w:rsid w:val="00653A3E"/>
    <w:rsid w:val="00653C16"/>
    <w:rsid w:val="00656CBE"/>
    <w:rsid w:val="00666F1E"/>
    <w:rsid w:val="00671BB7"/>
    <w:rsid w:val="00674CF3"/>
    <w:rsid w:val="006762A1"/>
    <w:rsid w:val="0067688F"/>
    <w:rsid w:val="006822E2"/>
    <w:rsid w:val="00683173"/>
    <w:rsid w:val="006834B9"/>
    <w:rsid w:val="00683B19"/>
    <w:rsid w:val="006840B7"/>
    <w:rsid w:val="00684D4D"/>
    <w:rsid w:val="006857D3"/>
    <w:rsid w:val="00685FA9"/>
    <w:rsid w:val="006921CF"/>
    <w:rsid w:val="00695674"/>
    <w:rsid w:val="00696FA2"/>
    <w:rsid w:val="006A3E42"/>
    <w:rsid w:val="006A59E0"/>
    <w:rsid w:val="006A663E"/>
    <w:rsid w:val="006A7C37"/>
    <w:rsid w:val="006B05B2"/>
    <w:rsid w:val="006B188A"/>
    <w:rsid w:val="006B5E4E"/>
    <w:rsid w:val="006C10FD"/>
    <w:rsid w:val="006C4932"/>
    <w:rsid w:val="006C61F0"/>
    <w:rsid w:val="006D3E72"/>
    <w:rsid w:val="006D5A62"/>
    <w:rsid w:val="006E7BCA"/>
    <w:rsid w:val="006F2528"/>
    <w:rsid w:val="006F59B9"/>
    <w:rsid w:val="00702CE2"/>
    <w:rsid w:val="00711A1A"/>
    <w:rsid w:val="00713982"/>
    <w:rsid w:val="0071425D"/>
    <w:rsid w:val="007151E1"/>
    <w:rsid w:val="007153CD"/>
    <w:rsid w:val="00721CA8"/>
    <w:rsid w:val="00722BC8"/>
    <w:rsid w:val="00726488"/>
    <w:rsid w:val="00726EEC"/>
    <w:rsid w:val="0072797F"/>
    <w:rsid w:val="00730076"/>
    <w:rsid w:val="00735296"/>
    <w:rsid w:val="00742362"/>
    <w:rsid w:val="00755BD1"/>
    <w:rsid w:val="00755CB4"/>
    <w:rsid w:val="007629EC"/>
    <w:rsid w:val="00764D87"/>
    <w:rsid w:val="007718DA"/>
    <w:rsid w:val="00771AC7"/>
    <w:rsid w:val="00772897"/>
    <w:rsid w:val="00774796"/>
    <w:rsid w:val="00777E69"/>
    <w:rsid w:val="00777FB1"/>
    <w:rsid w:val="0078404E"/>
    <w:rsid w:val="0078450C"/>
    <w:rsid w:val="00784D1B"/>
    <w:rsid w:val="007902F4"/>
    <w:rsid w:val="00793F48"/>
    <w:rsid w:val="007941F3"/>
    <w:rsid w:val="00797FF0"/>
    <w:rsid w:val="007A199A"/>
    <w:rsid w:val="007A1A1E"/>
    <w:rsid w:val="007A2D54"/>
    <w:rsid w:val="007A3B0D"/>
    <w:rsid w:val="007A46BA"/>
    <w:rsid w:val="007A665D"/>
    <w:rsid w:val="007A6B58"/>
    <w:rsid w:val="007A7449"/>
    <w:rsid w:val="007B2821"/>
    <w:rsid w:val="007B3644"/>
    <w:rsid w:val="007B438B"/>
    <w:rsid w:val="007B6B97"/>
    <w:rsid w:val="007B6DBB"/>
    <w:rsid w:val="007C1572"/>
    <w:rsid w:val="007C1D24"/>
    <w:rsid w:val="007E13F6"/>
    <w:rsid w:val="007E2610"/>
    <w:rsid w:val="007E4EA9"/>
    <w:rsid w:val="007E71A9"/>
    <w:rsid w:val="007F02B8"/>
    <w:rsid w:val="007F1593"/>
    <w:rsid w:val="007F42B0"/>
    <w:rsid w:val="007F74DC"/>
    <w:rsid w:val="00800BC6"/>
    <w:rsid w:val="0080166E"/>
    <w:rsid w:val="00804ACF"/>
    <w:rsid w:val="00806AAF"/>
    <w:rsid w:val="00811143"/>
    <w:rsid w:val="008122A6"/>
    <w:rsid w:val="00814F76"/>
    <w:rsid w:val="0081670E"/>
    <w:rsid w:val="00816B7E"/>
    <w:rsid w:val="00817A72"/>
    <w:rsid w:val="00824E92"/>
    <w:rsid w:val="00827660"/>
    <w:rsid w:val="008354E5"/>
    <w:rsid w:val="00836D83"/>
    <w:rsid w:val="008370EA"/>
    <w:rsid w:val="00840E03"/>
    <w:rsid w:val="00842C04"/>
    <w:rsid w:val="008440C7"/>
    <w:rsid w:val="0085150B"/>
    <w:rsid w:val="0085329A"/>
    <w:rsid w:val="008570E1"/>
    <w:rsid w:val="008649BF"/>
    <w:rsid w:val="00867179"/>
    <w:rsid w:val="0087042F"/>
    <w:rsid w:val="00870540"/>
    <w:rsid w:val="008760F9"/>
    <w:rsid w:val="00877D46"/>
    <w:rsid w:val="0088107B"/>
    <w:rsid w:val="00882DFC"/>
    <w:rsid w:val="00886DD5"/>
    <w:rsid w:val="00890588"/>
    <w:rsid w:val="00890B87"/>
    <w:rsid w:val="0089200D"/>
    <w:rsid w:val="008941A0"/>
    <w:rsid w:val="008A0B81"/>
    <w:rsid w:val="008A3953"/>
    <w:rsid w:val="008B0EE9"/>
    <w:rsid w:val="008B5FB6"/>
    <w:rsid w:val="008B69EF"/>
    <w:rsid w:val="008B6AB2"/>
    <w:rsid w:val="008B6CAE"/>
    <w:rsid w:val="008C1828"/>
    <w:rsid w:val="008C332B"/>
    <w:rsid w:val="008C44A2"/>
    <w:rsid w:val="008D0417"/>
    <w:rsid w:val="008D2404"/>
    <w:rsid w:val="008D3159"/>
    <w:rsid w:val="008D5305"/>
    <w:rsid w:val="008D7CA0"/>
    <w:rsid w:val="008E30C1"/>
    <w:rsid w:val="008E439B"/>
    <w:rsid w:val="008E517C"/>
    <w:rsid w:val="008E71C1"/>
    <w:rsid w:val="008E7C12"/>
    <w:rsid w:val="008F175C"/>
    <w:rsid w:val="008F454C"/>
    <w:rsid w:val="008F4C5B"/>
    <w:rsid w:val="008F61BA"/>
    <w:rsid w:val="008F732B"/>
    <w:rsid w:val="009014A3"/>
    <w:rsid w:val="009016D2"/>
    <w:rsid w:val="0090555B"/>
    <w:rsid w:val="00906FB8"/>
    <w:rsid w:val="009148B9"/>
    <w:rsid w:val="009159F1"/>
    <w:rsid w:val="00916D33"/>
    <w:rsid w:val="00923289"/>
    <w:rsid w:val="00923AFD"/>
    <w:rsid w:val="009241DD"/>
    <w:rsid w:val="009260CD"/>
    <w:rsid w:val="00931362"/>
    <w:rsid w:val="00934252"/>
    <w:rsid w:val="009407F9"/>
    <w:rsid w:val="00941A0F"/>
    <w:rsid w:val="0094519F"/>
    <w:rsid w:val="00946A76"/>
    <w:rsid w:val="00952281"/>
    <w:rsid w:val="00952B21"/>
    <w:rsid w:val="009600A4"/>
    <w:rsid w:val="00960886"/>
    <w:rsid w:val="009619C4"/>
    <w:rsid w:val="00971440"/>
    <w:rsid w:val="0097741B"/>
    <w:rsid w:val="0098220E"/>
    <w:rsid w:val="00995163"/>
    <w:rsid w:val="009A0243"/>
    <w:rsid w:val="009A1016"/>
    <w:rsid w:val="009A24BD"/>
    <w:rsid w:val="009A2D8D"/>
    <w:rsid w:val="009A2F6B"/>
    <w:rsid w:val="009A392C"/>
    <w:rsid w:val="009A65D9"/>
    <w:rsid w:val="009B0CA6"/>
    <w:rsid w:val="009B7C41"/>
    <w:rsid w:val="009C5F5B"/>
    <w:rsid w:val="009C679C"/>
    <w:rsid w:val="009C6CB9"/>
    <w:rsid w:val="009C7755"/>
    <w:rsid w:val="009D3172"/>
    <w:rsid w:val="009D3AD5"/>
    <w:rsid w:val="009D6C6C"/>
    <w:rsid w:val="009E31C0"/>
    <w:rsid w:val="009F0C49"/>
    <w:rsid w:val="009F5E9C"/>
    <w:rsid w:val="009F66A0"/>
    <w:rsid w:val="009F798E"/>
    <w:rsid w:val="00A00F97"/>
    <w:rsid w:val="00A1041C"/>
    <w:rsid w:val="00A11606"/>
    <w:rsid w:val="00A1512A"/>
    <w:rsid w:val="00A1728D"/>
    <w:rsid w:val="00A2145A"/>
    <w:rsid w:val="00A24746"/>
    <w:rsid w:val="00A24978"/>
    <w:rsid w:val="00A2598F"/>
    <w:rsid w:val="00A25E73"/>
    <w:rsid w:val="00A26CD8"/>
    <w:rsid w:val="00A42293"/>
    <w:rsid w:val="00A44D31"/>
    <w:rsid w:val="00A50FC5"/>
    <w:rsid w:val="00A522EF"/>
    <w:rsid w:val="00A534CD"/>
    <w:rsid w:val="00A540C6"/>
    <w:rsid w:val="00A5655E"/>
    <w:rsid w:val="00A63B88"/>
    <w:rsid w:val="00A72336"/>
    <w:rsid w:val="00A82907"/>
    <w:rsid w:val="00A90102"/>
    <w:rsid w:val="00A91553"/>
    <w:rsid w:val="00A9272B"/>
    <w:rsid w:val="00A93970"/>
    <w:rsid w:val="00A97DAF"/>
    <w:rsid w:val="00AA07A1"/>
    <w:rsid w:val="00AB0852"/>
    <w:rsid w:val="00AB119D"/>
    <w:rsid w:val="00AC031D"/>
    <w:rsid w:val="00AC13E4"/>
    <w:rsid w:val="00AD2168"/>
    <w:rsid w:val="00AD4C86"/>
    <w:rsid w:val="00AD5F2B"/>
    <w:rsid w:val="00AD6173"/>
    <w:rsid w:val="00AE059B"/>
    <w:rsid w:val="00AE0646"/>
    <w:rsid w:val="00AE6C2E"/>
    <w:rsid w:val="00AE6C65"/>
    <w:rsid w:val="00AE7FE2"/>
    <w:rsid w:val="00AF2720"/>
    <w:rsid w:val="00B01098"/>
    <w:rsid w:val="00B05EEE"/>
    <w:rsid w:val="00B061CE"/>
    <w:rsid w:val="00B06327"/>
    <w:rsid w:val="00B06499"/>
    <w:rsid w:val="00B13973"/>
    <w:rsid w:val="00B14828"/>
    <w:rsid w:val="00B204E2"/>
    <w:rsid w:val="00B210E6"/>
    <w:rsid w:val="00B21330"/>
    <w:rsid w:val="00B2554A"/>
    <w:rsid w:val="00B310DF"/>
    <w:rsid w:val="00B31916"/>
    <w:rsid w:val="00B33035"/>
    <w:rsid w:val="00B33A2E"/>
    <w:rsid w:val="00B40868"/>
    <w:rsid w:val="00B42C1D"/>
    <w:rsid w:val="00B44D4B"/>
    <w:rsid w:val="00B45CB5"/>
    <w:rsid w:val="00B4614E"/>
    <w:rsid w:val="00B505FB"/>
    <w:rsid w:val="00B54874"/>
    <w:rsid w:val="00B576CA"/>
    <w:rsid w:val="00B615EA"/>
    <w:rsid w:val="00B6341E"/>
    <w:rsid w:val="00B648A4"/>
    <w:rsid w:val="00B6494B"/>
    <w:rsid w:val="00B64CD6"/>
    <w:rsid w:val="00B72194"/>
    <w:rsid w:val="00B72FCC"/>
    <w:rsid w:val="00B733F5"/>
    <w:rsid w:val="00B73517"/>
    <w:rsid w:val="00B7574C"/>
    <w:rsid w:val="00B810EF"/>
    <w:rsid w:val="00B816C3"/>
    <w:rsid w:val="00B83D43"/>
    <w:rsid w:val="00B84D32"/>
    <w:rsid w:val="00B85676"/>
    <w:rsid w:val="00B93850"/>
    <w:rsid w:val="00B94736"/>
    <w:rsid w:val="00B97EB7"/>
    <w:rsid w:val="00BA3240"/>
    <w:rsid w:val="00BA758F"/>
    <w:rsid w:val="00BB0DBB"/>
    <w:rsid w:val="00BB2788"/>
    <w:rsid w:val="00BB4EC0"/>
    <w:rsid w:val="00BB59F2"/>
    <w:rsid w:val="00BB5CEC"/>
    <w:rsid w:val="00BB7128"/>
    <w:rsid w:val="00BB7C4C"/>
    <w:rsid w:val="00BC027C"/>
    <w:rsid w:val="00BC0C8E"/>
    <w:rsid w:val="00BC35B6"/>
    <w:rsid w:val="00BC3F2B"/>
    <w:rsid w:val="00BC4367"/>
    <w:rsid w:val="00BC621E"/>
    <w:rsid w:val="00BD189F"/>
    <w:rsid w:val="00BD1A0B"/>
    <w:rsid w:val="00BD324D"/>
    <w:rsid w:val="00BD5692"/>
    <w:rsid w:val="00BD711E"/>
    <w:rsid w:val="00BE1A27"/>
    <w:rsid w:val="00BE5312"/>
    <w:rsid w:val="00BE557D"/>
    <w:rsid w:val="00BE5B61"/>
    <w:rsid w:val="00BE6420"/>
    <w:rsid w:val="00BE774E"/>
    <w:rsid w:val="00BE7F56"/>
    <w:rsid w:val="00BF1761"/>
    <w:rsid w:val="00BF2F47"/>
    <w:rsid w:val="00BF2F8E"/>
    <w:rsid w:val="00BF704C"/>
    <w:rsid w:val="00C03752"/>
    <w:rsid w:val="00C13DB1"/>
    <w:rsid w:val="00C13E1B"/>
    <w:rsid w:val="00C16037"/>
    <w:rsid w:val="00C164A9"/>
    <w:rsid w:val="00C219BD"/>
    <w:rsid w:val="00C220DE"/>
    <w:rsid w:val="00C221AF"/>
    <w:rsid w:val="00C33240"/>
    <w:rsid w:val="00C339AB"/>
    <w:rsid w:val="00C343EB"/>
    <w:rsid w:val="00C371DF"/>
    <w:rsid w:val="00C4019D"/>
    <w:rsid w:val="00C46909"/>
    <w:rsid w:val="00C508AB"/>
    <w:rsid w:val="00C50D54"/>
    <w:rsid w:val="00C53FBF"/>
    <w:rsid w:val="00C56246"/>
    <w:rsid w:val="00C56ECA"/>
    <w:rsid w:val="00C56EE2"/>
    <w:rsid w:val="00C56FF8"/>
    <w:rsid w:val="00C617B6"/>
    <w:rsid w:val="00C649DC"/>
    <w:rsid w:val="00C64DA4"/>
    <w:rsid w:val="00C674F2"/>
    <w:rsid w:val="00C76E90"/>
    <w:rsid w:val="00C8121F"/>
    <w:rsid w:val="00C93B63"/>
    <w:rsid w:val="00CA180B"/>
    <w:rsid w:val="00CA4728"/>
    <w:rsid w:val="00CA7468"/>
    <w:rsid w:val="00CB1285"/>
    <w:rsid w:val="00CB4FD1"/>
    <w:rsid w:val="00CB7893"/>
    <w:rsid w:val="00CC0376"/>
    <w:rsid w:val="00CC0B4C"/>
    <w:rsid w:val="00CC3F53"/>
    <w:rsid w:val="00CC44ED"/>
    <w:rsid w:val="00CD1EE0"/>
    <w:rsid w:val="00CD25D0"/>
    <w:rsid w:val="00CD5407"/>
    <w:rsid w:val="00CD57D7"/>
    <w:rsid w:val="00CE1BEC"/>
    <w:rsid w:val="00CE29CC"/>
    <w:rsid w:val="00CE3541"/>
    <w:rsid w:val="00CE3F61"/>
    <w:rsid w:val="00CE622E"/>
    <w:rsid w:val="00CE6EBE"/>
    <w:rsid w:val="00CF2C97"/>
    <w:rsid w:val="00CF30AB"/>
    <w:rsid w:val="00CF6741"/>
    <w:rsid w:val="00D001CC"/>
    <w:rsid w:val="00D0225B"/>
    <w:rsid w:val="00D029B6"/>
    <w:rsid w:val="00D03FD3"/>
    <w:rsid w:val="00D110B1"/>
    <w:rsid w:val="00D121D5"/>
    <w:rsid w:val="00D1315D"/>
    <w:rsid w:val="00D13E54"/>
    <w:rsid w:val="00D27A4A"/>
    <w:rsid w:val="00D316A0"/>
    <w:rsid w:val="00D3425B"/>
    <w:rsid w:val="00D37A35"/>
    <w:rsid w:val="00D43008"/>
    <w:rsid w:val="00D432F6"/>
    <w:rsid w:val="00D46D6F"/>
    <w:rsid w:val="00D52F04"/>
    <w:rsid w:val="00D537BE"/>
    <w:rsid w:val="00D53C3E"/>
    <w:rsid w:val="00D62021"/>
    <w:rsid w:val="00D6335A"/>
    <w:rsid w:val="00D64AB8"/>
    <w:rsid w:val="00D67D57"/>
    <w:rsid w:val="00D74BBF"/>
    <w:rsid w:val="00D77F2E"/>
    <w:rsid w:val="00D80355"/>
    <w:rsid w:val="00D84131"/>
    <w:rsid w:val="00D91DF8"/>
    <w:rsid w:val="00D9335F"/>
    <w:rsid w:val="00DA35E6"/>
    <w:rsid w:val="00DA4463"/>
    <w:rsid w:val="00DA772B"/>
    <w:rsid w:val="00DB0CBF"/>
    <w:rsid w:val="00DB0E05"/>
    <w:rsid w:val="00DB1637"/>
    <w:rsid w:val="00DB309E"/>
    <w:rsid w:val="00DB3E2F"/>
    <w:rsid w:val="00DB5EB9"/>
    <w:rsid w:val="00DB6E34"/>
    <w:rsid w:val="00DB6F7E"/>
    <w:rsid w:val="00DB77DD"/>
    <w:rsid w:val="00DC1871"/>
    <w:rsid w:val="00DC2F94"/>
    <w:rsid w:val="00DC2FFB"/>
    <w:rsid w:val="00DD220C"/>
    <w:rsid w:val="00DD37B0"/>
    <w:rsid w:val="00DD3DA7"/>
    <w:rsid w:val="00DE00A2"/>
    <w:rsid w:val="00DE0D7D"/>
    <w:rsid w:val="00DE295E"/>
    <w:rsid w:val="00DE3012"/>
    <w:rsid w:val="00DE7A55"/>
    <w:rsid w:val="00DF6AD1"/>
    <w:rsid w:val="00E03CFD"/>
    <w:rsid w:val="00E16345"/>
    <w:rsid w:val="00E17004"/>
    <w:rsid w:val="00E17BAF"/>
    <w:rsid w:val="00E20670"/>
    <w:rsid w:val="00E20F40"/>
    <w:rsid w:val="00E22DBE"/>
    <w:rsid w:val="00E23DF6"/>
    <w:rsid w:val="00E2782B"/>
    <w:rsid w:val="00E27B3F"/>
    <w:rsid w:val="00E30DEF"/>
    <w:rsid w:val="00E31B87"/>
    <w:rsid w:val="00E320BF"/>
    <w:rsid w:val="00E36A19"/>
    <w:rsid w:val="00E36D11"/>
    <w:rsid w:val="00E37CD4"/>
    <w:rsid w:val="00E42F73"/>
    <w:rsid w:val="00E438C0"/>
    <w:rsid w:val="00E43C82"/>
    <w:rsid w:val="00E45F1F"/>
    <w:rsid w:val="00E47B12"/>
    <w:rsid w:val="00E5107A"/>
    <w:rsid w:val="00E53073"/>
    <w:rsid w:val="00E54D5A"/>
    <w:rsid w:val="00E56170"/>
    <w:rsid w:val="00E574A0"/>
    <w:rsid w:val="00E579B6"/>
    <w:rsid w:val="00E61430"/>
    <w:rsid w:val="00E622A0"/>
    <w:rsid w:val="00E672E2"/>
    <w:rsid w:val="00E67B2C"/>
    <w:rsid w:val="00E72BEC"/>
    <w:rsid w:val="00E7335E"/>
    <w:rsid w:val="00E7419E"/>
    <w:rsid w:val="00E74B98"/>
    <w:rsid w:val="00E75188"/>
    <w:rsid w:val="00E76318"/>
    <w:rsid w:val="00E8095D"/>
    <w:rsid w:val="00E81F67"/>
    <w:rsid w:val="00E930DF"/>
    <w:rsid w:val="00E9510E"/>
    <w:rsid w:val="00EA06D4"/>
    <w:rsid w:val="00EA2B4D"/>
    <w:rsid w:val="00EA3AD0"/>
    <w:rsid w:val="00EA4A5C"/>
    <w:rsid w:val="00EA5B59"/>
    <w:rsid w:val="00EA6B9E"/>
    <w:rsid w:val="00EB5733"/>
    <w:rsid w:val="00ED4196"/>
    <w:rsid w:val="00ED4AD7"/>
    <w:rsid w:val="00ED4F32"/>
    <w:rsid w:val="00ED64C7"/>
    <w:rsid w:val="00EE1F87"/>
    <w:rsid w:val="00EE2221"/>
    <w:rsid w:val="00EE324A"/>
    <w:rsid w:val="00EE40B2"/>
    <w:rsid w:val="00EE72E5"/>
    <w:rsid w:val="00EF149C"/>
    <w:rsid w:val="00EF420F"/>
    <w:rsid w:val="00EF4F22"/>
    <w:rsid w:val="00EF7E77"/>
    <w:rsid w:val="00F000FD"/>
    <w:rsid w:val="00F040A8"/>
    <w:rsid w:val="00F10E67"/>
    <w:rsid w:val="00F11511"/>
    <w:rsid w:val="00F12A96"/>
    <w:rsid w:val="00F14B6E"/>
    <w:rsid w:val="00F22276"/>
    <w:rsid w:val="00F231BD"/>
    <w:rsid w:val="00F2372F"/>
    <w:rsid w:val="00F24366"/>
    <w:rsid w:val="00F2725C"/>
    <w:rsid w:val="00F2775D"/>
    <w:rsid w:val="00F277F7"/>
    <w:rsid w:val="00F364E6"/>
    <w:rsid w:val="00F443E6"/>
    <w:rsid w:val="00F4767B"/>
    <w:rsid w:val="00F502D8"/>
    <w:rsid w:val="00F50665"/>
    <w:rsid w:val="00F50B8F"/>
    <w:rsid w:val="00F51E41"/>
    <w:rsid w:val="00F5234E"/>
    <w:rsid w:val="00F54875"/>
    <w:rsid w:val="00F54D32"/>
    <w:rsid w:val="00F55955"/>
    <w:rsid w:val="00F56338"/>
    <w:rsid w:val="00F60999"/>
    <w:rsid w:val="00F61131"/>
    <w:rsid w:val="00F61AB5"/>
    <w:rsid w:val="00F63330"/>
    <w:rsid w:val="00F6508F"/>
    <w:rsid w:val="00F72196"/>
    <w:rsid w:val="00F74797"/>
    <w:rsid w:val="00F777EA"/>
    <w:rsid w:val="00F81459"/>
    <w:rsid w:val="00F8255F"/>
    <w:rsid w:val="00F83642"/>
    <w:rsid w:val="00F836EB"/>
    <w:rsid w:val="00F83CFE"/>
    <w:rsid w:val="00F8410D"/>
    <w:rsid w:val="00F841ED"/>
    <w:rsid w:val="00F85607"/>
    <w:rsid w:val="00F8589C"/>
    <w:rsid w:val="00F91D99"/>
    <w:rsid w:val="00FA26E8"/>
    <w:rsid w:val="00FA2852"/>
    <w:rsid w:val="00FA3299"/>
    <w:rsid w:val="00FA45C8"/>
    <w:rsid w:val="00FA57B6"/>
    <w:rsid w:val="00FB115E"/>
    <w:rsid w:val="00FB22CF"/>
    <w:rsid w:val="00FB249D"/>
    <w:rsid w:val="00FB4A97"/>
    <w:rsid w:val="00FB53E6"/>
    <w:rsid w:val="00FC043C"/>
    <w:rsid w:val="00FC2CEF"/>
    <w:rsid w:val="00FC3551"/>
    <w:rsid w:val="00FC3942"/>
    <w:rsid w:val="00FC54D6"/>
    <w:rsid w:val="00FC5501"/>
    <w:rsid w:val="00FC6A29"/>
    <w:rsid w:val="00FC6C5F"/>
    <w:rsid w:val="00FD09E3"/>
    <w:rsid w:val="00FD4381"/>
    <w:rsid w:val="00FD4DAF"/>
    <w:rsid w:val="00FD7842"/>
    <w:rsid w:val="00FE0753"/>
    <w:rsid w:val="00FE25C7"/>
    <w:rsid w:val="00FE4BE0"/>
    <w:rsid w:val="00FE6544"/>
    <w:rsid w:val="00FF3490"/>
    <w:rsid w:val="03D235BB"/>
    <w:rsid w:val="0F225770"/>
    <w:rsid w:val="20DE73B3"/>
    <w:rsid w:val="21A167FE"/>
    <w:rsid w:val="23F11B0E"/>
    <w:rsid w:val="25FC74AB"/>
    <w:rsid w:val="2D4E0750"/>
    <w:rsid w:val="4068581B"/>
    <w:rsid w:val="46F92AED"/>
    <w:rsid w:val="49397991"/>
    <w:rsid w:val="4BB63871"/>
    <w:rsid w:val="4F6A44C6"/>
    <w:rsid w:val="59C26F08"/>
    <w:rsid w:val="59F66033"/>
    <w:rsid w:val="5E9F0094"/>
    <w:rsid w:val="5ECF7ECB"/>
    <w:rsid w:val="76094F21"/>
    <w:rsid w:val="79E87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宋体" w:cs="Times New Roman"/>
      <w:kern w:val="0"/>
      <w:sz w:val="22"/>
      <w:szCs w:val="22"/>
      <w:lang w:val="en-US" w:eastAsia="zh-CN" w:bidi="ar-SA"/>
    </w:rPr>
  </w:style>
  <w:style w:type="paragraph" w:styleId="2">
    <w:name w:val="heading 1"/>
    <w:basedOn w:val="1"/>
    <w:next w:val="1"/>
    <w:link w:val="59"/>
    <w:qFormat/>
    <w:uiPriority w:val="1"/>
    <w:pPr>
      <w:keepNext/>
      <w:keepLines/>
      <w:spacing w:before="480" w:after="0"/>
      <w:outlineLvl w:val="0"/>
    </w:pPr>
    <w:rPr>
      <w:rFonts w:ascii="Cambria" w:hAnsi="Cambria"/>
      <w:b/>
      <w:bCs/>
      <w:color w:val="21798E"/>
      <w:sz w:val="28"/>
      <w:szCs w:val="28"/>
    </w:rPr>
  </w:style>
  <w:style w:type="paragraph" w:styleId="3">
    <w:name w:val="heading 2"/>
    <w:basedOn w:val="1"/>
    <w:next w:val="1"/>
    <w:link w:val="60"/>
    <w:unhideWhenUsed/>
    <w:qFormat/>
    <w:uiPriority w:val="9"/>
    <w:pPr>
      <w:keepNext/>
      <w:keepLines/>
      <w:spacing w:before="200" w:after="0"/>
      <w:outlineLvl w:val="1"/>
    </w:pPr>
    <w:rPr>
      <w:rFonts w:ascii="Cambria" w:hAnsi="Cambria"/>
      <w:b/>
      <w:bCs/>
      <w:color w:val="2DA2BF"/>
      <w:sz w:val="26"/>
      <w:szCs w:val="26"/>
    </w:rPr>
  </w:style>
  <w:style w:type="paragraph" w:styleId="4">
    <w:name w:val="heading 3"/>
    <w:basedOn w:val="1"/>
    <w:next w:val="1"/>
    <w:link w:val="61"/>
    <w:unhideWhenUsed/>
    <w:qFormat/>
    <w:uiPriority w:val="9"/>
    <w:pPr>
      <w:keepNext/>
      <w:keepLines/>
      <w:spacing w:before="200" w:after="0"/>
      <w:outlineLvl w:val="2"/>
    </w:pPr>
    <w:rPr>
      <w:rFonts w:ascii="Cambria" w:hAnsi="Cambria"/>
      <w:b/>
      <w:bCs/>
      <w:color w:val="2DA2BF"/>
    </w:rPr>
  </w:style>
  <w:style w:type="paragraph" w:styleId="5">
    <w:name w:val="heading 4"/>
    <w:basedOn w:val="1"/>
    <w:next w:val="1"/>
    <w:link w:val="62"/>
    <w:unhideWhenUsed/>
    <w:qFormat/>
    <w:uiPriority w:val="9"/>
    <w:pPr>
      <w:keepNext/>
      <w:keepLines/>
      <w:spacing w:before="200" w:after="0"/>
      <w:outlineLvl w:val="3"/>
    </w:pPr>
    <w:rPr>
      <w:rFonts w:ascii="Cambria" w:hAnsi="Cambria"/>
      <w:b/>
      <w:bCs/>
      <w:i/>
      <w:iCs/>
      <w:color w:val="2DA2BF"/>
    </w:rPr>
  </w:style>
  <w:style w:type="paragraph" w:styleId="6">
    <w:name w:val="heading 5"/>
    <w:basedOn w:val="1"/>
    <w:next w:val="1"/>
    <w:link w:val="63"/>
    <w:semiHidden/>
    <w:unhideWhenUsed/>
    <w:qFormat/>
    <w:uiPriority w:val="9"/>
    <w:pPr>
      <w:keepNext/>
      <w:keepLines/>
      <w:spacing w:before="200" w:after="0"/>
      <w:outlineLvl w:val="4"/>
    </w:pPr>
    <w:rPr>
      <w:rFonts w:ascii="Cambria" w:hAnsi="Cambria"/>
      <w:color w:val="16505E"/>
    </w:rPr>
  </w:style>
  <w:style w:type="paragraph" w:styleId="7">
    <w:name w:val="heading 6"/>
    <w:basedOn w:val="1"/>
    <w:next w:val="1"/>
    <w:link w:val="64"/>
    <w:semiHidden/>
    <w:unhideWhenUsed/>
    <w:qFormat/>
    <w:uiPriority w:val="9"/>
    <w:pPr>
      <w:keepNext/>
      <w:keepLines/>
      <w:spacing w:before="200" w:after="0"/>
      <w:outlineLvl w:val="5"/>
    </w:pPr>
    <w:rPr>
      <w:rFonts w:ascii="Cambria" w:hAnsi="Cambria"/>
      <w:i/>
      <w:iCs/>
      <w:color w:val="16505E"/>
    </w:rPr>
  </w:style>
  <w:style w:type="paragraph" w:styleId="8">
    <w:name w:val="heading 7"/>
    <w:basedOn w:val="1"/>
    <w:next w:val="1"/>
    <w:link w:val="65"/>
    <w:semiHidden/>
    <w:unhideWhenUsed/>
    <w:qFormat/>
    <w:uiPriority w:val="9"/>
    <w:pPr>
      <w:keepNext/>
      <w:keepLines/>
      <w:spacing w:before="200" w:after="0"/>
      <w:outlineLvl w:val="6"/>
    </w:pPr>
    <w:rPr>
      <w:rFonts w:ascii="Cambria" w:hAnsi="Cambria"/>
      <w:i/>
      <w:iCs/>
      <w:color w:val="404040"/>
    </w:rPr>
  </w:style>
  <w:style w:type="paragraph" w:styleId="9">
    <w:name w:val="heading 8"/>
    <w:basedOn w:val="1"/>
    <w:next w:val="1"/>
    <w:link w:val="66"/>
    <w:semiHidden/>
    <w:unhideWhenUsed/>
    <w:qFormat/>
    <w:uiPriority w:val="9"/>
    <w:pPr>
      <w:keepNext/>
      <w:keepLines/>
      <w:spacing w:before="200" w:after="0"/>
      <w:outlineLvl w:val="7"/>
    </w:pPr>
    <w:rPr>
      <w:rFonts w:ascii="Cambria" w:hAnsi="Cambria"/>
      <w:color w:val="2DA2BF"/>
      <w:sz w:val="20"/>
      <w:szCs w:val="20"/>
    </w:rPr>
  </w:style>
  <w:style w:type="paragraph" w:styleId="10">
    <w:name w:val="heading 9"/>
    <w:basedOn w:val="1"/>
    <w:next w:val="1"/>
    <w:link w:val="67"/>
    <w:semiHidden/>
    <w:unhideWhenUsed/>
    <w:qFormat/>
    <w:uiPriority w:val="9"/>
    <w:pPr>
      <w:keepNext/>
      <w:keepLines/>
      <w:spacing w:before="200" w:after="0"/>
      <w:outlineLvl w:val="8"/>
    </w:pPr>
    <w:rPr>
      <w:rFonts w:ascii="Cambria" w:hAnsi="Cambria"/>
      <w:i/>
      <w:iCs/>
      <w:color w:val="404040"/>
      <w:sz w:val="20"/>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widowControl w:val="0"/>
      <w:spacing w:line="240" w:lineRule="auto"/>
      <w:ind w:left="2520" w:leftChars="1200"/>
      <w:jc w:val="both"/>
    </w:pPr>
  </w:style>
  <w:style w:type="paragraph" w:styleId="12">
    <w:name w:val="Normal Indent"/>
    <w:basedOn w:val="1"/>
    <w:link w:val="90"/>
    <w:qFormat/>
    <w:uiPriority w:val="0"/>
    <w:pPr>
      <w:ind w:firstLine="420"/>
    </w:pPr>
    <w:rPr>
      <w:rFonts w:asciiTheme="minorHAnsi" w:hAnsiTheme="minorHAnsi" w:eastAsiaTheme="minorEastAsia" w:cstheme="minorBidi"/>
      <w:kern w:val="2"/>
      <w:sz w:val="21"/>
    </w:rPr>
  </w:style>
  <w:style w:type="paragraph" w:styleId="13">
    <w:name w:val="caption"/>
    <w:basedOn w:val="1"/>
    <w:next w:val="1"/>
    <w:semiHidden/>
    <w:unhideWhenUsed/>
    <w:qFormat/>
    <w:uiPriority w:val="35"/>
    <w:pPr>
      <w:spacing w:line="240" w:lineRule="auto"/>
    </w:pPr>
    <w:rPr>
      <w:b/>
      <w:bCs/>
      <w:color w:val="2DA2BF"/>
      <w:sz w:val="18"/>
      <w:szCs w:val="18"/>
    </w:rPr>
  </w:style>
  <w:style w:type="paragraph" w:styleId="14">
    <w:name w:val="annotation text"/>
    <w:basedOn w:val="1"/>
    <w:link w:val="81"/>
    <w:unhideWhenUsed/>
    <w:qFormat/>
    <w:uiPriority w:val="99"/>
  </w:style>
  <w:style w:type="paragraph" w:styleId="15">
    <w:name w:val="Body Text 3"/>
    <w:basedOn w:val="1"/>
    <w:link w:val="68"/>
    <w:unhideWhenUsed/>
    <w:qFormat/>
    <w:uiPriority w:val="0"/>
    <w:pPr>
      <w:spacing w:after="120"/>
    </w:pPr>
    <w:rPr>
      <w:rFonts w:asciiTheme="minorHAnsi" w:hAnsiTheme="minorHAnsi" w:eastAsiaTheme="minorEastAsia" w:cstheme="minorBidi"/>
      <w:kern w:val="2"/>
      <w:sz w:val="16"/>
      <w:szCs w:val="16"/>
    </w:rPr>
  </w:style>
  <w:style w:type="paragraph" w:styleId="16">
    <w:name w:val="Body Text"/>
    <w:basedOn w:val="1"/>
    <w:link w:val="77"/>
    <w:qFormat/>
    <w:uiPriority w:val="99"/>
    <w:pPr>
      <w:ind w:left="142"/>
    </w:pPr>
    <w:rPr>
      <w:kern w:val="2"/>
      <w:sz w:val="21"/>
      <w:szCs w:val="21"/>
    </w:rPr>
  </w:style>
  <w:style w:type="paragraph" w:styleId="17">
    <w:name w:val="toc 5"/>
    <w:basedOn w:val="1"/>
    <w:next w:val="1"/>
    <w:autoRedefine/>
    <w:unhideWhenUsed/>
    <w:qFormat/>
    <w:uiPriority w:val="39"/>
    <w:pPr>
      <w:widowControl w:val="0"/>
      <w:spacing w:line="240" w:lineRule="auto"/>
      <w:ind w:left="1680" w:leftChars="800"/>
      <w:jc w:val="both"/>
    </w:pPr>
  </w:style>
  <w:style w:type="paragraph" w:styleId="18">
    <w:name w:val="toc 3"/>
    <w:basedOn w:val="1"/>
    <w:next w:val="1"/>
    <w:autoRedefine/>
    <w:unhideWhenUsed/>
    <w:qFormat/>
    <w:uiPriority w:val="39"/>
    <w:pPr>
      <w:ind w:left="840" w:leftChars="400"/>
    </w:pPr>
  </w:style>
  <w:style w:type="paragraph" w:styleId="19">
    <w:name w:val="Plain Text"/>
    <w:basedOn w:val="1"/>
    <w:link w:val="87"/>
    <w:qFormat/>
    <w:uiPriority w:val="0"/>
    <w:rPr>
      <w:rFonts w:ascii="宋体" w:hAnsi="Courier New"/>
      <w:sz w:val="21"/>
      <w:szCs w:val="20"/>
    </w:rPr>
  </w:style>
  <w:style w:type="paragraph" w:styleId="20">
    <w:name w:val="toc 8"/>
    <w:basedOn w:val="1"/>
    <w:next w:val="1"/>
    <w:autoRedefine/>
    <w:unhideWhenUsed/>
    <w:qFormat/>
    <w:uiPriority w:val="39"/>
    <w:pPr>
      <w:widowControl w:val="0"/>
      <w:spacing w:line="240" w:lineRule="auto"/>
      <w:ind w:left="2940" w:leftChars="1400"/>
      <w:jc w:val="both"/>
    </w:pPr>
  </w:style>
  <w:style w:type="paragraph" w:styleId="21">
    <w:name w:val="Date"/>
    <w:basedOn w:val="1"/>
    <w:next w:val="1"/>
    <w:link w:val="105"/>
    <w:semiHidden/>
    <w:unhideWhenUsed/>
    <w:qFormat/>
    <w:uiPriority w:val="99"/>
    <w:pPr>
      <w:ind w:left="100" w:leftChars="2500"/>
    </w:pPr>
  </w:style>
  <w:style w:type="paragraph" w:styleId="22">
    <w:name w:val="endnote text"/>
    <w:basedOn w:val="1"/>
    <w:link w:val="124"/>
    <w:unhideWhenUsed/>
    <w:qFormat/>
    <w:uiPriority w:val="99"/>
    <w:pPr>
      <w:widowControl w:val="0"/>
      <w:snapToGrid w:val="0"/>
      <w:spacing w:after="0" w:line="240" w:lineRule="auto"/>
    </w:pPr>
    <w:rPr>
      <w:rFonts w:asciiTheme="minorHAnsi" w:hAnsiTheme="minorHAnsi" w:eastAsiaTheme="minorEastAsia" w:cstheme="minorBidi"/>
      <w:kern w:val="2"/>
      <w:sz w:val="21"/>
    </w:rPr>
  </w:style>
  <w:style w:type="paragraph" w:styleId="23">
    <w:name w:val="Balloon Text"/>
    <w:basedOn w:val="1"/>
    <w:link w:val="73"/>
    <w:unhideWhenUsed/>
    <w:qFormat/>
    <w:uiPriority w:val="99"/>
    <w:rPr>
      <w:rFonts w:eastAsiaTheme="minorEastAsia" w:cstheme="minorBidi"/>
      <w:kern w:val="2"/>
      <w:sz w:val="18"/>
      <w:szCs w:val="18"/>
    </w:rPr>
  </w:style>
  <w:style w:type="paragraph" w:styleId="24">
    <w:name w:val="footer"/>
    <w:basedOn w:val="1"/>
    <w:link w:val="75"/>
    <w:qFormat/>
    <w:uiPriority w:val="99"/>
    <w:pPr>
      <w:tabs>
        <w:tab w:val="center" w:pos="4153"/>
        <w:tab w:val="right" w:pos="8306"/>
      </w:tabs>
      <w:snapToGrid w:val="0"/>
    </w:pPr>
    <w:rPr>
      <w:rFonts w:ascii="Times New Roman" w:hAnsi="Times New Roman"/>
      <w:kern w:val="2"/>
      <w:sz w:val="18"/>
      <w:szCs w:val="21"/>
    </w:rPr>
  </w:style>
  <w:style w:type="paragraph" w:styleId="25">
    <w:name w:val="header"/>
    <w:basedOn w:val="1"/>
    <w:link w:val="71"/>
    <w:qFormat/>
    <w:uiPriority w:val="99"/>
    <w:pPr>
      <w:tabs>
        <w:tab w:val="center" w:pos="4153"/>
        <w:tab w:val="right" w:pos="8306"/>
      </w:tabs>
      <w:snapToGrid w:val="0"/>
      <w:jc w:val="center"/>
    </w:pPr>
    <w:rPr>
      <w:kern w:val="2"/>
      <w:sz w:val="18"/>
      <w:szCs w:val="21"/>
    </w:rPr>
  </w:style>
  <w:style w:type="paragraph" w:styleId="26">
    <w:name w:val="toc 1"/>
    <w:basedOn w:val="1"/>
    <w:next w:val="1"/>
    <w:unhideWhenUsed/>
    <w:qFormat/>
    <w:uiPriority w:val="39"/>
  </w:style>
  <w:style w:type="paragraph" w:styleId="27">
    <w:name w:val="toc 4"/>
    <w:basedOn w:val="1"/>
    <w:next w:val="1"/>
    <w:autoRedefine/>
    <w:unhideWhenUsed/>
    <w:qFormat/>
    <w:uiPriority w:val="39"/>
    <w:pPr>
      <w:widowControl w:val="0"/>
      <w:spacing w:line="240" w:lineRule="auto"/>
      <w:ind w:left="1260" w:leftChars="600"/>
      <w:jc w:val="both"/>
    </w:pPr>
  </w:style>
  <w:style w:type="paragraph" w:styleId="28">
    <w:name w:val="Subtitle"/>
    <w:basedOn w:val="1"/>
    <w:next w:val="1"/>
    <w:link w:val="110"/>
    <w:qFormat/>
    <w:uiPriority w:val="11"/>
    <w:rPr>
      <w:rFonts w:ascii="Cambria" w:hAnsi="Cambria"/>
      <w:i/>
      <w:iCs/>
      <w:color w:val="2DA2BF"/>
      <w:spacing w:val="15"/>
      <w:sz w:val="24"/>
      <w:szCs w:val="24"/>
    </w:rPr>
  </w:style>
  <w:style w:type="paragraph" w:styleId="29">
    <w:name w:val="toc 6"/>
    <w:basedOn w:val="1"/>
    <w:next w:val="1"/>
    <w:autoRedefine/>
    <w:unhideWhenUsed/>
    <w:qFormat/>
    <w:uiPriority w:val="39"/>
    <w:pPr>
      <w:widowControl w:val="0"/>
      <w:spacing w:line="240" w:lineRule="auto"/>
      <w:ind w:left="2100" w:leftChars="1000"/>
      <w:jc w:val="both"/>
    </w:pPr>
  </w:style>
  <w:style w:type="paragraph" w:styleId="30">
    <w:name w:val="toc 2"/>
    <w:basedOn w:val="1"/>
    <w:next w:val="1"/>
    <w:unhideWhenUsed/>
    <w:qFormat/>
    <w:uiPriority w:val="39"/>
    <w:pPr>
      <w:ind w:left="420" w:leftChars="200"/>
    </w:pPr>
  </w:style>
  <w:style w:type="paragraph" w:styleId="31">
    <w:name w:val="toc 9"/>
    <w:basedOn w:val="1"/>
    <w:next w:val="1"/>
    <w:autoRedefine/>
    <w:unhideWhenUsed/>
    <w:qFormat/>
    <w:uiPriority w:val="39"/>
    <w:pPr>
      <w:widowControl w:val="0"/>
      <w:spacing w:line="240" w:lineRule="auto"/>
      <w:ind w:left="3360" w:leftChars="1600"/>
      <w:jc w:val="both"/>
    </w:pPr>
  </w:style>
  <w:style w:type="paragraph" w:styleId="32">
    <w:name w:val="Normal (Web)"/>
    <w:basedOn w:val="1"/>
    <w:qFormat/>
    <w:uiPriority w:val="99"/>
    <w:pPr>
      <w:spacing w:before="100" w:beforeAutospacing="1" w:after="100" w:afterAutospacing="1"/>
    </w:pPr>
    <w:rPr>
      <w:rFonts w:ascii="宋体" w:hAnsi="宋体" w:cs="宋体"/>
      <w:sz w:val="24"/>
      <w:szCs w:val="24"/>
    </w:rPr>
  </w:style>
  <w:style w:type="paragraph" w:styleId="33">
    <w:name w:val="Title"/>
    <w:basedOn w:val="1"/>
    <w:next w:val="1"/>
    <w:link w:val="108"/>
    <w:qFormat/>
    <w:uiPriority w:val="10"/>
    <w:pPr>
      <w:pBdr>
        <w:bottom w:val="single" w:color="2DA2BF" w:sz="8" w:space="4"/>
      </w:pBdr>
      <w:spacing w:after="300" w:line="240" w:lineRule="auto"/>
      <w:contextualSpacing/>
    </w:pPr>
    <w:rPr>
      <w:rFonts w:ascii="Cambria" w:hAnsi="Cambria"/>
      <w:color w:val="343434"/>
      <w:spacing w:val="5"/>
      <w:kern w:val="28"/>
      <w:sz w:val="52"/>
      <w:szCs w:val="52"/>
    </w:rPr>
  </w:style>
  <w:style w:type="paragraph" w:styleId="34">
    <w:name w:val="annotation subject"/>
    <w:basedOn w:val="14"/>
    <w:next w:val="14"/>
    <w:link w:val="80"/>
    <w:unhideWhenUsed/>
    <w:qFormat/>
    <w:uiPriority w:val="99"/>
    <w:rPr>
      <w:b/>
      <w:bCs/>
      <w:kern w:val="2"/>
      <w:sz w:val="21"/>
    </w:rPr>
  </w:style>
  <w:style w:type="paragraph" w:styleId="35">
    <w:name w:val="Body Text First Indent"/>
    <w:basedOn w:val="16"/>
    <w:next w:val="1"/>
    <w:qFormat/>
    <w:uiPriority w:val="0"/>
    <w:pPr>
      <w:ind w:firstLine="420" w:firstLineChars="100"/>
    </w:pPr>
  </w:style>
  <w:style w:type="table" w:styleId="37">
    <w:name w:val="Table Grid"/>
    <w:basedOn w:val="36"/>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22"/>
    <w:rPr>
      <w:b/>
      <w:bCs/>
    </w:rPr>
  </w:style>
  <w:style w:type="character" w:styleId="40">
    <w:name w:val="endnote reference"/>
    <w:unhideWhenUsed/>
    <w:qFormat/>
    <w:uiPriority w:val="99"/>
    <w:rPr>
      <w:vertAlign w:val="superscript"/>
    </w:rPr>
  </w:style>
  <w:style w:type="character" w:styleId="41">
    <w:name w:val="FollowedHyperlink"/>
    <w:unhideWhenUsed/>
    <w:qFormat/>
    <w:uiPriority w:val="99"/>
    <w:rPr>
      <w:color w:val="333333"/>
      <w:u w:val="single"/>
    </w:rPr>
  </w:style>
  <w:style w:type="character" w:styleId="42">
    <w:name w:val="Emphasis"/>
    <w:qFormat/>
    <w:uiPriority w:val="20"/>
    <w:rPr>
      <w:i/>
      <w:iCs/>
    </w:rPr>
  </w:style>
  <w:style w:type="character" w:styleId="43">
    <w:name w:val="HTML Definition"/>
    <w:unhideWhenUsed/>
    <w:qFormat/>
    <w:uiPriority w:val="99"/>
    <w:rPr>
      <w:i/>
    </w:rPr>
  </w:style>
  <w:style w:type="character" w:styleId="44">
    <w:name w:val="Hyperlink"/>
    <w:unhideWhenUsed/>
    <w:qFormat/>
    <w:uiPriority w:val="99"/>
    <w:rPr>
      <w:color w:val="0000FF"/>
      <w:u w:val="single"/>
    </w:rPr>
  </w:style>
  <w:style w:type="character" w:styleId="45">
    <w:name w:val="HTML Code"/>
    <w:unhideWhenUsed/>
    <w:qFormat/>
    <w:uiPriority w:val="99"/>
    <w:rPr>
      <w:rFonts w:ascii="Menlo" w:hAnsi="Menlo" w:eastAsia="Menlo" w:cs="Menlo"/>
      <w:color w:val="C7254E"/>
      <w:sz w:val="21"/>
      <w:szCs w:val="21"/>
      <w:shd w:val="clear" w:color="auto" w:fill="F9F2F4"/>
    </w:rPr>
  </w:style>
  <w:style w:type="character" w:styleId="46">
    <w:name w:val="annotation reference"/>
    <w:qFormat/>
    <w:uiPriority w:val="99"/>
    <w:rPr>
      <w:sz w:val="21"/>
    </w:rPr>
  </w:style>
  <w:style w:type="character" w:styleId="47">
    <w:name w:val="HTML Cite"/>
    <w:unhideWhenUsed/>
    <w:qFormat/>
    <w:uiPriority w:val="99"/>
    <w:rPr>
      <w:sz w:val="24"/>
      <w:szCs w:val="24"/>
    </w:rPr>
  </w:style>
  <w:style w:type="character" w:styleId="48">
    <w:name w:val="HTML Keyboard"/>
    <w:unhideWhenUsed/>
    <w:qFormat/>
    <w:uiPriority w:val="99"/>
    <w:rPr>
      <w:rFonts w:hint="default" w:ascii="Menlo" w:hAnsi="Menlo" w:eastAsia="Menlo" w:cs="Menlo"/>
      <w:color w:val="FFFFFF"/>
      <w:sz w:val="21"/>
      <w:szCs w:val="21"/>
      <w:shd w:val="clear" w:color="auto" w:fill="333333"/>
    </w:rPr>
  </w:style>
  <w:style w:type="character" w:styleId="49">
    <w:name w:val="HTML Sample"/>
    <w:unhideWhenUsed/>
    <w:qFormat/>
    <w:uiPriority w:val="99"/>
    <w:rPr>
      <w:rFonts w:hint="default" w:ascii="Menlo" w:hAnsi="Menlo" w:eastAsia="Menlo" w:cs="Menlo"/>
      <w:sz w:val="21"/>
      <w:szCs w:val="21"/>
    </w:rPr>
  </w:style>
  <w:style w:type="character" w:customStyle="1" w:styleId="50">
    <w:name w:val="标题 1 字符"/>
    <w:basedOn w:val="38"/>
    <w:qFormat/>
    <w:uiPriority w:val="1"/>
    <w:rPr>
      <w:rFonts w:ascii="Calibri" w:hAnsi="Calibri" w:eastAsia="宋体" w:cs="Times New Roman"/>
      <w:b/>
      <w:bCs/>
      <w:kern w:val="44"/>
      <w:sz w:val="44"/>
      <w:szCs w:val="44"/>
    </w:rPr>
  </w:style>
  <w:style w:type="character" w:customStyle="1" w:styleId="51">
    <w:name w:val="标题 2 字符"/>
    <w:basedOn w:val="38"/>
    <w:qFormat/>
    <w:uiPriority w:val="9"/>
    <w:rPr>
      <w:rFonts w:asciiTheme="majorHAnsi" w:hAnsiTheme="majorHAnsi" w:eastAsiaTheme="majorEastAsia" w:cstheme="majorBidi"/>
      <w:b/>
      <w:bCs/>
      <w:kern w:val="0"/>
      <w:sz w:val="32"/>
      <w:szCs w:val="32"/>
    </w:rPr>
  </w:style>
  <w:style w:type="character" w:customStyle="1" w:styleId="52">
    <w:name w:val="标题 3 字符"/>
    <w:basedOn w:val="38"/>
    <w:semiHidden/>
    <w:qFormat/>
    <w:uiPriority w:val="9"/>
    <w:rPr>
      <w:rFonts w:ascii="Calibri" w:hAnsi="Calibri" w:eastAsia="宋体" w:cs="Times New Roman"/>
      <w:b/>
      <w:bCs/>
      <w:kern w:val="0"/>
      <w:sz w:val="32"/>
      <w:szCs w:val="32"/>
    </w:rPr>
  </w:style>
  <w:style w:type="character" w:customStyle="1" w:styleId="53">
    <w:name w:val="标题 4 字符"/>
    <w:basedOn w:val="38"/>
    <w:semiHidden/>
    <w:qFormat/>
    <w:uiPriority w:val="9"/>
    <w:rPr>
      <w:rFonts w:asciiTheme="majorHAnsi" w:hAnsiTheme="majorHAnsi" w:eastAsiaTheme="majorEastAsia" w:cstheme="majorBidi"/>
      <w:b/>
      <w:bCs/>
      <w:kern w:val="0"/>
      <w:sz w:val="28"/>
      <w:szCs w:val="28"/>
    </w:rPr>
  </w:style>
  <w:style w:type="character" w:customStyle="1" w:styleId="54">
    <w:name w:val="标题 5 字符"/>
    <w:basedOn w:val="38"/>
    <w:semiHidden/>
    <w:qFormat/>
    <w:uiPriority w:val="9"/>
    <w:rPr>
      <w:rFonts w:ascii="Calibri" w:hAnsi="Calibri" w:eastAsia="宋体" w:cs="Times New Roman"/>
      <w:b/>
      <w:bCs/>
      <w:kern w:val="0"/>
      <w:sz w:val="28"/>
      <w:szCs w:val="28"/>
    </w:rPr>
  </w:style>
  <w:style w:type="character" w:customStyle="1" w:styleId="55">
    <w:name w:val="标题 6 字符"/>
    <w:basedOn w:val="38"/>
    <w:semiHidden/>
    <w:qFormat/>
    <w:uiPriority w:val="9"/>
    <w:rPr>
      <w:rFonts w:asciiTheme="majorHAnsi" w:hAnsiTheme="majorHAnsi" w:eastAsiaTheme="majorEastAsia" w:cstheme="majorBidi"/>
      <w:b/>
      <w:bCs/>
      <w:kern w:val="0"/>
      <w:sz w:val="24"/>
      <w:szCs w:val="24"/>
    </w:rPr>
  </w:style>
  <w:style w:type="character" w:customStyle="1" w:styleId="56">
    <w:name w:val="标题 7 字符"/>
    <w:basedOn w:val="38"/>
    <w:semiHidden/>
    <w:qFormat/>
    <w:uiPriority w:val="9"/>
    <w:rPr>
      <w:rFonts w:ascii="Calibri" w:hAnsi="Calibri" w:eastAsia="宋体" w:cs="Times New Roman"/>
      <w:b/>
      <w:bCs/>
      <w:kern w:val="0"/>
      <w:sz w:val="24"/>
      <w:szCs w:val="24"/>
    </w:rPr>
  </w:style>
  <w:style w:type="character" w:customStyle="1" w:styleId="57">
    <w:name w:val="标题 8 字符"/>
    <w:basedOn w:val="38"/>
    <w:semiHidden/>
    <w:qFormat/>
    <w:uiPriority w:val="9"/>
    <w:rPr>
      <w:rFonts w:asciiTheme="majorHAnsi" w:hAnsiTheme="majorHAnsi" w:eastAsiaTheme="majorEastAsia" w:cstheme="majorBidi"/>
      <w:kern w:val="0"/>
      <w:sz w:val="24"/>
      <w:szCs w:val="24"/>
    </w:rPr>
  </w:style>
  <w:style w:type="character" w:customStyle="1" w:styleId="58">
    <w:name w:val="标题 9 字符"/>
    <w:basedOn w:val="38"/>
    <w:semiHidden/>
    <w:qFormat/>
    <w:uiPriority w:val="9"/>
    <w:rPr>
      <w:rFonts w:asciiTheme="majorHAnsi" w:hAnsiTheme="majorHAnsi" w:eastAsiaTheme="majorEastAsia" w:cstheme="majorBidi"/>
      <w:kern w:val="0"/>
      <w:szCs w:val="21"/>
    </w:rPr>
  </w:style>
  <w:style w:type="character" w:customStyle="1" w:styleId="59">
    <w:name w:val="标题 1 字符1"/>
    <w:link w:val="2"/>
    <w:qFormat/>
    <w:uiPriority w:val="1"/>
    <w:rPr>
      <w:rFonts w:ascii="Cambria" w:hAnsi="Cambria" w:eastAsia="宋体" w:cs="Times New Roman"/>
      <w:b/>
      <w:bCs/>
      <w:color w:val="21798E"/>
      <w:kern w:val="0"/>
      <w:sz w:val="28"/>
      <w:szCs w:val="28"/>
    </w:rPr>
  </w:style>
  <w:style w:type="character" w:customStyle="1" w:styleId="60">
    <w:name w:val="标题 2 字符1"/>
    <w:link w:val="3"/>
    <w:qFormat/>
    <w:uiPriority w:val="9"/>
    <w:rPr>
      <w:rFonts w:ascii="Cambria" w:hAnsi="Cambria" w:eastAsia="宋体" w:cs="Times New Roman"/>
      <w:b/>
      <w:bCs/>
      <w:color w:val="2DA2BF"/>
      <w:kern w:val="0"/>
      <w:sz w:val="26"/>
      <w:szCs w:val="26"/>
    </w:rPr>
  </w:style>
  <w:style w:type="character" w:customStyle="1" w:styleId="61">
    <w:name w:val="标题 3 字符1"/>
    <w:link w:val="4"/>
    <w:qFormat/>
    <w:uiPriority w:val="9"/>
    <w:rPr>
      <w:rFonts w:ascii="Cambria" w:hAnsi="Cambria" w:eastAsia="宋体" w:cs="Times New Roman"/>
      <w:b/>
      <w:bCs/>
      <w:color w:val="2DA2BF"/>
      <w:kern w:val="0"/>
      <w:sz w:val="22"/>
    </w:rPr>
  </w:style>
  <w:style w:type="character" w:customStyle="1" w:styleId="62">
    <w:name w:val="标题 4 字符1"/>
    <w:link w:val="5"/>
    <w:qFormat/>
    <w:uiPriority w:val="9"/>
    <w:rPr>
      <w:rFonts w:ascii="Cambria" w:hAnsi="Cambria" w:eastAsia="宋体" w:cs="Times New Roman"/>
      <w:b/>
      <w:bCs/>
      <w:i/>
      <w:iCs/>
      <w:color w:val="2DA2BF"/>
      <w:kern w:val="0"/>
      <w:sz w:val="22"/>
    </w:rPr>
  </w:style>
  <w:style w:type="character" w:customStyle="1" w:styleId="63">
    <w:name w:val="标题 5 字符1"/>
    <w:link w:val="6"/>
    <w:semiHidden/>
    <w:qFormat/>
    <w:uiPriority w:val="9"/>
    <w:rPr>
      <w:rFonts w:ascii="Cambria" w:hAnsi="Cambria" w:eastAsia="宋体" w:cs="Times New Roman"/>
      <w:color w:val="16505E"/>
      <w:kern w:val="0"/>
      <w:sz w:val="22"/>
    </w:rPr>
  </w:style>
  <w:style w:type="character" w:customStyle="1" w:styleId="64">
    <w:name w:val="标题 6 字符1"/>
    <w:link w:val="7"/>
    <w:semiHidden/>
    <w:qFormat/>
    <w:uiPriority w:val="9"/>
    <w:rPr>
      <w:rFonts w:ascii="Cambria" w:hAnsi="Cambria" w:eastAsia="宋体" w:cs="Times New Roman"/>
      <w:i/>
      <w:iCs/>
      <w:color w:val="16505E"/>
      <w:kern w:val="0"/>
      <w:sz w:val="22"/>
    </w:rPr>
  </w:style>
  <w:style w:type="character" w:customStyle="1" w:styleId="65">
    <w:name w:val="标题 7 字符1"/>
    <w:link w:val="8"/>
    <w:semiHidden/>
    <w:qFormat/>
    <w:uiPriority w:val="9"/>
    <w:rPr>
      <w:rFonts w:ascii="Cambria" w:hAnsi="Cambria" w:eastAsia="宋体" w:cs="Times New Roman"/>
      <w:i/>
      <w:iCs/>
      <w:color w:val="404040"/>
      <w:kern w:val="0"/>
      <w:sz w:val="22"/>
    </w:rPr>
  </w:style>
  <w:style w:type="character" w:customStyle="1" w:styleId="66">
    <w:name w:val="标题 8 字符1"/>
    <w:link w:val="9"/>
    <w:semiHidden/>
    <w:qFormat/>
    <w:uiPriority w:val="9"/>
    <w:rPr>
      <w:rFonts w:ascii="Cambria" w:hAnsi="Cambria" w:eastAsia="宋体" w:cs="Times New Roman"/>
      <w:color w:val="2DA2BF"/>
      <w:kern w:val="0"/>
      <w:sz w:val="20"/>
      <w:szCs w:val="20"/>
    </w:rPr>
  </w:style>
  <w:style w:type="character" w:customStyle="1" w:styleId="67">
    <w:name w:val="标题 9 字符1"/>
    <w:link w:val="10"/>
    <w:semiHidden/>
    <w:qFormat/>
    <w:uiPriority w:val="9"/>
    <w:rPr>
      <w:rFonts w:ascii="Cambria" w:hAnsi="Cambria" w:eastAsia="宋体" w:cs="Times New Roman"/>
      <w:i/>
      <w:iCs/>
      <w:color w:val="404040"/>
      <w:kern w:val="0"/>
      <w:sz w:val="20"/>
      <w:szCs w:val="20"/>
    </w:rPr>
  </w:style>
  <w:style w:type="character" w:customStyle="1" w:styleId="68">
    <w:name w:val="正文文本 3 字符1"/>
    <w:link w:val="15"/>
    <w:qFormat/>
    <w:uiPriority w:val="0"/>
    <w:rPr>
      <w:sz w:val="16"/>
      <w:szCs w:val="16"/>
    </w:rPr>
  </w:style>
  <w:style w:type="character" w:customStyle="1" w:styleId="69">
    <w:name w:val="正文文本 3 字符"/>
    <w:basedOn w:val="38"/>
    <w:semiHidden/>
    <w:qFormat/>
    <w:uiPriority w:val="99"/>
    <w:rPr>
      <w:rFonts w:ascii="Calibri" w:hAnsi="Calibri" w:eastAsia="宋体" w:cs="Times New Roman"/>
      <w:kern w:val="0"/>
      <w:sz w:val="16"/>
      <w:szCs w:val="16"/>
    </w:rPr>
  </w:style>
  <w:style w:type="character" w:customStyle="1" w:styleId="70">
    <w:name w:val="font81"/>
    <w:qFormat/>
    <w:uiPriority w:val="0"/>
    <w:rPr>
      <w:rFonts w:hint="eastAsia" w:ascii="宋体" w:hAnsi="宋体" w:eastAsia="宋体" w:cs="宋体"/>
      <w:color w:val="000000"/>
      <w:sz w:val="20"/>
      <w:szCs w:val="20"/>
      <w:u w:val="none"/>
    </w:rPr>
  </w:style>
  <w:style w:type="character" w:customStyle="1" w:styleId="71">
    <w:name w:val="页眉 字符1"/>
    <w:link w:val="25"/>
    <w:qFormat/>
    <w:uiPriority w:val="99"/>
    <w:rPr>
      <w:rFonts w:ascii="Calibri" w:hAnsi="Calibri" w:eastAsia="宋体" w:cs="Times New Roman"/>
      <w:sz w:val="18"/>
      <w:szCs w:val="21"/>
    </w:rPr>
  </w:style>
  <w:style w:type="character" w:customStyle="1" w:styleId="72">
    <w:name w:val="页眉 字符"/>
    <w:basedOn w:val="38"/>
    <w:qFormat/>
    <w:uiPriority w:val="99"/>
    <w:rPr>
      <w:rFonts w:ascii="Calibri" w:hAnsi="Calibri" w:eastAsia="宋体" w:cs="Times New Roman"/>
      <w:kern w:val="0"/>
      <w:sz w:val="18"/>
      <w:szCs w:val="18"/>
    </w:rPr>
  </w:style>
  <w:style w:type="character" w:customStyle="1" w:styleId="73">
    <w:name w:val="批注框文本 字符1"/>
    <w:link w:val="23"/>
    <w:qFormat/>
    <w:uiPriority w:val="99"/>
    <w:rPr>
      <w:rFonts w:ascii="Calibri" w:hAnsi="Calibri"/>
      <w:sz w:val="18"/>
      <w:szCs w:val="18"/>
    </w:rPr>
  </w:style>
  <w:style w:type="character" w:customStyle="1" w:styleId="74">
    <w:name w:val="批注框文本 字符"/>
    <w:basedOn w:val="38"/>
    <w:qFormat/>
    <w:uiPriority w:val="99"/>
    <w:rPr>
      <w:rFonts w:ascii="Calibri" w:hAnsi="Calibri" w:eastAsia="宋体" w:cs="Times New Roman"/>
      <w:kern w:val="0"/>
      <w:sz w:val="18"/>
      <w:szCs w:val="18"/>
    </w:rPr>
  </w:style>
  <w:style w:type="character" w:customStyle="1" w:styleId="75">
    <w:name w:val="页脚 字符1"/>
    <w:link w:val="24"/>
    <w:qFormat/>
    <w:uiPriority w:val="99"/>
    <w:rPr>
      <w:rFonts w:ascii="Times New Roman" w:hAnsi="Times New Roman" w:eastAsia="宋体" w:cs="Times New Roman"/>
      <w:sz w:val="18"/>
      <w:szCs w:val="21"/>
    </w:rPr>
  </w:style>
  <w:style w:type="character" w:customStyle="1" w:styleId="76">
    <w:name w:val="页脚 字符"/>
    <w:basedOn w:val="38"/>
    <w:qFormat/>
    <w:uiPriority w:val="99"/>
    <w:rPr>
      <w:rFonts w:ascii="Calibri" w:hAnsi="Calibri" w:eastAsia="宋体" w:cs="Times New Roman"/>
      <w:kern w:val="0"/>
      <w:sz w:val="18"/>
      <w:szCs w:val="18"/>
    </w:rPr>
  </w:style>
  <w:style w:type="character" w:customStyle="1" w:styleId="77">
    <w:name w:val="正文文本 字符1"/>
    <w:link w:val="16"/>
    <w:qFormat/>
    <w:uiPriority w:val="99"/>
    <w:rPr>
      <w:rFonts w:ascii="Calibri" w:hAnsi="Calibri" w:eastAsia="宋体" w:cs="Times New Roman"/>
      <w:szCs w:val="21"/>
    </w:rPr>
  </w:style>
  <w:style w:type="character" w:customStyle="1" w:styleId="78">
    <w:name w:val="正文文本 字符"/>
    <w:basedOn w:val="38"/>
    <w:qFormat/>
    <w:uiPriority w:val="99"/>
    <w:rPr>
      <w:rFonts w:ascii="Calibri" w:hAnsi="Calibri" w:eastAsia="宋体" w:cs="Times New Roman"/>
      <w:kern w:val="0"/>
      <w:sz w:val="22"/>
    </w:rPr>
  </w:style>
  <w:style w:type="character" w:customStyle="1" w:styleId="79">
    <w:name w:val="默认段落字体1"/>
    <w:qFormat/>
    <w:uiPriority w:val="0"/>
  </w:style>
  <w:style w:type="character" w:customStyle="1" w:styleId="80">
    <w:name w:val="批注主题 字符1"/>
    <w:link w:val="34"/>
    <w:qFormat/>
    <w:uiPriority w:val="99"/>
    <w:rPr>
      <w:rFonts w:ascii="Calibri" w:hAnsi="Calibri" w:eastAsia="宋体" w:cs="Times New Roman"/>
      <w:b/>
      <w:bCs/>
    </w:rPr>
  </w:style>
  <w:style w:type="character" w:customStyle="1" w:styleId="81">
    <w:name w:val="批注文字 字符"/>
    <w:basedOn w:val="38"/>
    <w:link w:val="14"/>
    <w:qFormat/>
    <w:uiPriority w:val="99"/>
    <w:rPr>
      <w:rFonts w:ascii="Calibri" w:hAnsi="Calibri" w:eastAsia="宋体" w:cs="Times New Roman"/>
      <w:kern w:val="0"/>
      <w:sz w:val="22"/>
    </w:rPr>
  </w:style>
  <w:style w:type="character" w:customStyle="1" w:styleId="82">
    <w:name w:val="批注主题 字符"/>
    <w:basedOn w:val="81"/>
    <w:qFormat/>
    <w:uiPriority w:val="99"/>
    <w:rPr>
      <w:rFonts w:ascii="Calibri" w:hAnsi="Calibri" w:eastAsia="宋体" w:cs="Times New Roman"/>
      <w:b/>
      <w:bCs/>
      <w:kern w:val="0"/>
      <w:sz w:val="22"/>
    </w:rPr>
  </w:style>
  <w:style w:type="character" w:customStyle="1" w:styleId="83">
    <w:name w:val="批注文字 Char"/>
    <w:qFormat/>
    <w:uiPriority w:val="0"/>
    <w:rPr>
      <w:rFonts w:ascii="Calibri" w:hAnsi="Calibri" w:eastAsia="宋体" w:cs="Times New Roman"/>
      <w:szCs w:val="21"/>
    </w:rPr>
  </w:style>
  <w:style w:type="character" w:customStyle="1" w:styleId="84">
    <w:name w:val="num"/>
    <w:qFormat/>
    <w:uiPriority w:val="0"/>
    <w:rPr>
      <w:rFonts w:ascii="Times New Roman" w:hAnsi="Times New Roman" w:eastAsia="宋体" w:cs="Times New Roman"/>
      <w:b/>
      <w:color w:val="FF7800"/>
      <w:lang w:bidi="ar-SA"/>
    </w:rPr>
  </w:style>
  <w:style w:type="character" w:customStyle="1" w:styleId="85">
    <w:name w:val="time2"/>
    <w:qFormat/>
    <w:uiPriority w:val="0"/>
    <w:rPr>
      <w:color w:val="484848"/>
    </w:rPr>
  </w:style>
  <w:style w:type="character" w:customStyle="1" w:styleId="86">
    <w:name w:val="apple-converted-space"/>
    <w:basedOn w:val="38"/>
    <w:qFormat/>
    <w:uiPriority w:val="0"/>
  </w:style>
  <w:style w:type="character" w:customStyle="1" w:styleId="87">
    <w:name w:val="纯文本 字符2"/>
    <w:link w:val="19"/>
    <w:qFormat/>
    <w:uiPriority w:val="0"/>
    <w:rPr>
      <w:rFonts w:ascii="宋体" w:hAnsi="Courier New" w:eastAsia="宋体" w:cs="Times New Roman"/>
      <w:kern w:val="0"/>
      <w:szCs w:val="20"/>
    </w:rPr>
  </w:style>
  <w:style w:type="character" w:customStyle="1" w:styleId="88">
    <w:name w:val="纯文本 字符"/>
    <w:basedOn w:val="38"/>
    <w:qFormat/>
    <w:uiPriority w:val="0"/>
    <w:rPr>
      <w:rFonts w:hAnsi="Courier New" w:cs="Courier New" w:asciiTheme="minorEastAsia"/>
      <w:kern w:val="0"/>
      <w:sz w:val="22"/>
    </w:rPr>
  </w:style>
  <w:style w:type="character" w:customStyle="1" w:styleId="89">
    <w:name w:val="font61"/>
    <w:qFormat/>
    <w:uiPriority w:val="0"/>
    <w:rPr>
      <w:rFonts w:hint="eastAsia" w:ascii="宋体" w:hAnsi="宋体" w:eastAsia="宋体" w:cs="宋体"/>
      <w:color w:val="000000"/>
      <w:sz w:val="20"/>
      <w:szCs w:val="20"/>
      <w:u w:val="none"/>
    </w:rPr>
  </w:style>
  <w:style w:type="character" w:customStyle="1" w:styleId="90">
    <w:name w:val="正文缩进 字符1"/>
    <w:link w:val="12"/>
    <w:qFormat/>
    <w:locked/>
    <w:uiPriority w:val="0"/>
  </w:style>
  <w:style w:type="character" w:customStyle="1" w:styleId="91">
    <w:name w:val="font71"/>
    <w:qFormat/>
    <w:uiPriority w:val="0"/>
    <w:rPr>
      <w:rFonts w:hint="eastAsia" w:ascii="宋体" w:hAnsi="宋体" w:eastAsia="宋体" w:cs="宋体"/>
      <w:color w:val="000000"/>
      <w:sz w:val="20"/>
      <w:szCs w:val="20"/>
      <w:u w:val="none"/>
    </w:rPr>
  </w:style>
  <w:style w:type="character" w:customStyle="1" w:styleId="92">
    <w:name w:val="time"/>
    <w:qFormat/>
    <w:uiPriority w:val="0"/>
    <w:rPr>
      <w:color w:val="484848"/>
    </w:rPr>
  </w:style>
  <w:style w:type="paragraph" w:customStyle="1" w:styleId="93">
    <w:name w:val="Table Paragraph"/>
    <w:basedOn w:val="1"/>
    <w:qFormat/>
    <w:uiPriority w:val="99"/>
    <w:rPr>
      <w:szCs w:val="21"/>
    </w:rPr>
  </w:style>
  <w:style w:type="paragraph" w:customStyle="1" w:styleId="94">
    <w:name w:val="样式 标题 1 + 四号 居中 段前: 12 磅 段后: 12 磅 行距: 单倍行距"/>
    <w:basedOn w:val="2"/>
    <w:qFormat/>
    <w:uiPriority w:val="99"/>
    <w:pPr>
      <w:spacing w:before="240" w:after="240" w:line="240" w:lineRule="auto"/>
      <w:jc w:val="center"/>
    </w:pPr>
    <w:rPr>
      <w:rFonts w:cs="宋体"/>
      <w:szCs w:val="20"/>
    </w:rPr>
  </w:style>
  <w:style w:type="paragraph" w:customStyle="1" w:styleId="95">
    <w:name w:val="纯文本1"/>
    <w:basedOn w:val="1"/>
    <w:qFormat/>
    <w:uiPriority w:val="99"/>
    <w:rPr>
      <w:rFonts w:ascii="宋体" w:hAnsi="Courier New"/>
      <w:szCs w:val="21"/>
    </w:rPr>
  </w:style>
  <w:style w:type="paragraph" w:customStyle="1" w:styleId="96">
    <w:name w:val="正文字缩2字"/>
    <w:basedOn w:val="1"/>
    <w:qFormat/>
    <w:uiPriority w:val="99"/>
    <w:pPr>
      <w:spacing w:before="60" w:after="60" w:line="360" w:lineRule="auto"/>
      <w:ind w:left="200" w:leftChars="200" w:firstLine="200" w:firstLineChars="200"/>
      <w:jc w:val="both"/>
    </w:pPr>
    <w:rPr>
      <w:kern w:val="2"/>
      <w:szCs w:val="24"/>
    </w:rPr>
  </w:style>
  <w:style w:type="paragraph" w:customStyle="1" w:styleId="97">
    <w:name w:val="p0"/>
    <w:basedOn w:val="1"/>
    <w:qFormat/>
    <w:uiPriority w:val="99"/>
    <w:rPr>
      <w:sz w:val="21"/>
      <w:szCs w:val="21"/>
    </w:rPr>
  </w:style>
  <w:style w:type="paragraph" w:customStyle="1" w:styleId="98">
    <w:name w:val="列表段落1"/>
    <w:basedOn w:val="1"/>
    <w:unhideWhenUsed/>
    <w:qFormat/>
    <w:uiPriority w:val="99"/>
    <w:pPr>
      <w:ind w:firstLine="420" w:firstLineChars="200"/>
    </w:pPr>
  </w:style>
  <w:style w:type="paragraph" w:styleId="99">
    <w:name w:val="List Paragraph"/>
    <w:basedOn w:val="1"/>
    <w:next w:val="1"/>
    <w:link w:val="100"/>
    <w:qFormat/>
    <w:uiPriority w:val="34"/>
    <w:pPr>
      <w:ind w:left="720"/>
      <w:contextualSpacing/>
    </w:pPr>
  </w:style>
  <w:style w:type="character" w:customStyle="1" w:styleId="100">
    <w:name w:val="列出段落 字符"/>
    <w:link w:val="99"/>
    <w:qFormat/>
    <w:locked/>
    <w:uiPriority w:val="34"/>
    <w:rPr>
      <w:rFonts w:ascii="Calibri" w:hAnsi="Calibri" w:eastAsia="宋体" w:cs="Times New Roman"/>
      <w:kern w:val="0"/>
      <w:sz w:val="22"/>
    </w:rPr>
  </w:style>
  <w:style w:type="paragraph" w:customStyle="1" w:styleId="101">
    <w:name w:val="Default"/>
    <w:qFormat/>
    <w:uiPriority w:val="99"/>
    <w:pPr>
      <w:widowControl w:val="0"/>
      <w:autoSpaceDE w:val="0"/>
      <w:autoSpaceDN w:val="0"/>
      <w:adjustRightInd w:val="0"/>
      <w:spacing w:after="200" w:line="160" w:lineRule="exact"/>
    </w:pPr>
    <w:rPr>
      <w:rFonts w:ascii=".." w:hAnsi="Calibri" w:eastAsia=".." w:cs="Times New Roman"/>
      <w:color w:val="000000"/>
      <w:kern w:val="0"/>
      <w:sz w:val="24"/>
      <w:szCs w:val="24"/>
      <w:lang w:val="en-US" w:eastAsia="zh-CN" w:bidi="ar-SA"/>
    </w:rPr>
  </w:style>
  <w:style w:type="paragraph" w:customStyle="1" w:styleId="102">
    <w:name w:val="正文1"/>
    <w:qFormat/>
    <w:uiPriority w:val="99"/>
    <w:pPr>
      <w:widowControl w:val="0"/>
      <w:adjustRightInd w:val="0"/>
      <w:spacing w:after="200" w:line="360" w:lineRule="atLeast"/>
    </w:pPr>
    <w:rPr>
      <w:rFonts w:ascii="宋体" w:hAnsi="Calibri" w:eastAsia="宋体" w:cs="Times New Roman"/>
      <w:kern w:val="0"/>
      <w:sz w:val="34"/>
      <w:szCs w:val="22"/>
      <w:lang w:val="en-US" w:eastAsia="zh-CN" w:bidi="ar-SA"/>
    </w:rPr>
  </w:style>
  <w:style w:type="paragraph" w:customStyle="1" w:styleId="103">
    <w:name w:val="Revision"/>
    <w:hidden/>
    <w:unhideWhenUsed/>
    <w:qFormat/>
    <w:uiPriority w:val="99"/>
    <w:pPr>
      <w:spacing w:after="200" w:line="160" w:lineRule="exact"/>
    </w:pPr>
    <w:rPr>
      <w:rFonts w:ascii="Calibri" w:hAnsi="Calibri" w:eastAsia="宋体" w:cs="Times New Roman"/>
      <w:kern w:val="2"/>
      <w:sz w:val="21"/>
      <w:szCs w:val="22"/>
      <w:lang w:val="en-US" w:eastAsia="zh-CN" w:bidi="ar-SA"/>
    </w:rPr>
  </w:style>
  <w:style w:type="character" w:customStyle="1" w:styleId="104">
    <w:name w:val="日期 字符"/>
    <w:basedOn w:val="38"/>
    <w:semiHidden/>
    <w:qFormat/>
    <w:uiPriority w:val="99"/>
    <w:rPr>
      <w:rFonts w:ascii="Calibri" w:hAnsi="Calibri" w:eastAsia="宋体" w:cs="Times New Roman"/>
      <w:kern w:val="0"/>
      <w:sz w:val="22"/>
    </w:rPr>
  </w:style>
  <w:style w:type="character" w:customStyle="1" w:styleId="105">
    <w:name w:val="日期 字符1"/>
    <w:link w:val="21"/>
    <w:semiHidden/>
    <w:qFormat/>
    <w:uiPriority w:val="99"/>
    <w:rPr>
      <w:rFonts w:ascii="Calibri" w:hAnsi="Calibri" w:eastAsia="宋体" w:cs="Times New Roman"/>
      <w:kern w:val="0"/>
      <w:sz w:val="22"/>
    </w:rPr>
  </w:style>
  <w:style w:type="paragraph" w:customStyle="1" w:styleId="106">
    <w:name w:val="TOC Heading"/>
    <w:basedOn w:val="2"/>
    <w:next w:val="1"/>
    <w:semiHidden/>
    <w:unhideWhenUsed/>
    <w:qFormat/>
    <w:uiPriority w:val="39"/>
    <w:pPr>
      <w:outlineLvl w:val="9"/>
    </w:pPr>
  </w:style>
  <w:style w:type="character" w:customStyle="1" w:styleId="107">
    <w:name w:val="标题 字符"/>
    <w:basedOn w:val="38"/>
    <w:qFormat/>
    <w:uiPriority w:val="10"/>
    <w:rPr>
      <w:rFonts w:asciiTheme="majorHAnsi" w:hAnsiTheme="majorHAnsi" w:eastAsiaTheme="majorEastAsia" w:cstheme="majorBidi"/>
      <w:b/>
      <w:bCs/>
      <w:kern w:val="0"/>
      <w:sz w:val="32"/>
      <w:szCs w:val="32"/>
    </w:rPr>
  </w:style>
  <w:style w:type="character" w:customStyle="1" w:styleId="108">
    <w:name w:val="标题 字符1"/>
    <w:link w:val="33"/>
    <w:qFormat/>
    <w:uiPriority w:val="10"/>
    <w:rPr>
      <w:rFonts w:ascii="Cambria" w:hAnsi="Cambria" w:eastAsia="宋体" w:cs="Times New Roman"/>
      <w:color w:val="343434"/>
      <w:spacing w:val="5"/>
      <w:kern w:val="28"/>
      <w:sz w:val="52"/>
      <w:szCs w:val="52"/>
    </w:rPr>
  </w:style>
  <w:style w:type="character" w:customStyle="1" w:styleId="109">
    <w:name w:val="副标题 字符"/>
    <w:basedOn w:val="38"/>
    <w:qFormat/>
    <w:uiPriority w:val="11"/>
    <w:rPr>
      <w:b/>
      <w:bCs/>
      <w:kern w:val="28"/>
      <w:sz w:val="32"/>
      <w:szCs w:val="32"/>
    </w:rPr>
  </w:style>
  <w:style w:type="character" w:customStyle="1" w:styleId="110">
    <w:name w:val="副标题 字符1"/>
    <w:link w:val="28"/>
    <w:qFormat/>
    <w:uiPriority w:val="11"/>
    <w:rPr>
      <w:rFonts w:ascii="Cambria" w:hAnsi="Cambria" w:eastAsia="宋体" w:cs="Times New Roman"/>
      <w:i/>
      <w:iCs/>
      <w:color w:val="2DA2BF"/>
      <w:spacing w:val="15"/>
      <w:kern w:val="0"/>
      <w:sz w:val="24"/>
      <w:szCs w:val="24"/>
    </w:rPr>
  </w:style>
  <w:style w:type="paragraph" w:styleId="111">
    <w:name w:val="No Spacing"/>
    <w:qFormat/>
    <w:uiPriority w:val="1"/>
    <w:rPr>
      <w:rFonts w:ascii="Calibri" w:hAnsi="Calibri" w:eastAsia="宋体" w:cs="Times New Roman"/>
      <w:kern w:val="0"/>
      <w:sz w:val="22"/>
      <w:szCs w:val="22"/>
      <w:lang w:val="en-US" w:eastAsia="zh-CN" w:bidi="ar-SA"/>
    </w:rPr>
  </w:style>
  <w:style w:type="paragraph" w:styleId="112">
    <w:name w:val="Quote"/>
    <w:basedOn w:val="1"/>
    <w:next w:val="1"/>
    <w:link w:val="114"/>
    <w:qFormat/>
    <w:uiPriority w:val="29"/>
    <w:rPr>
      <w:i/>
      <w:iCs/>
      <w:color w:val="000000"/>
    </w:rPr>
  </w:style>
  <w:style w:type="character" w:customStyle="1" w:styleId="113">
    <w:name w:val="引用 字符"/>
    <w:basedOn w:val="38"/>
    <w:qFormat/>
    <w:uiPriority w:val="29"/>
    <w:rPr>
      <w:rFonts w:ascii="Calibri" w:hAnsi="Calibri" w:eastAsia="宋体" w:cs="Times New Roman"/>
      <w:i/>
      <w:iCs/>
      <w:color w:val="404040" w:themeColor="text1" w:themeTint="BF"/>
      <w:kern w:val="0"/>
      <w:sz w:val="22"/>
      <w14:textFill>
        <w14:solidFill>
          <w14:schemeClr w14:val="tx1">
            <w14:lumMod w14:val="75000"/>
            <w14:lumOff w14:val="25000"/>
          </w14:schemeClr>
        </w14:solidFill>
      </w14:textFill>
    </w:rPr>
  </w:style>
  <w:style w:type="character" w:customStyle="1" w:styleId="114">
    <w:name w:val="引用 字符1"/>
    <w:link w:val="112"/>
    <w:qFormat/>
    <w:uiPriority w:val="29"/>
    <w:rPr>
      <w:rFonts w:ascii="Calibri" w:hAnsi="Calibri" w:eastAsia="宋体" w:cs="Times New Roman"/>
      <w:i/>
      <w:iCs/>
      <w:color w:val="000000"/>
      <w:kern w:val="0"/>
      <w:sz w:val="22"/>
    </w:rPr>
  </w:style>
  <w:style w:type="paragraph" w:styleId="115">
    <w:name w:val="Intense Quote"/>
    <w:basedOn w:val="1"/>
    <w:next w:val="1"/>
    <w:link w:val="117"/>
    <w:qFormat/>
    <w:uiPriority w:val="30"/>
    <w:pPr>
      <w:pBdr>
        <w:bottom w:val="single" w:color="2DA2BF" w:sz="4" w:space="4"/>
      </w:pBdr>
      <w:spacing w:before="200" w:after="280"/>
      <w:ind w:left="936" w:right="936"/>
    </w:pPr>
    <w:rPr>
      <w:b/>
      <w:bCs/>
      <w:i/>
      <w:iCs/>
      <w:color w:val="2DA2BF"/>
    </w:rPr>
  </w:style>
  <w:style w:type="character" w:customStyle="1" w:styleId="116">
    <w:name w:val="明显引用 字符"/>
    <w:basedOn w:val="38"/>
    <w:qFormat/>
    <w:uiPriority w:val="30"/>
    <w:rPr>
      <w:rFonts w:ascii="Calibri" w:hAnsi="Calibri" w:eastAsia="宋体" w:cs="Times New Roman"/>
      <w:i/>
      <w:iCs/>
      <w:color w:val="5B9BD5" w:themeColor="accent1"/>
      <w:kern w:val="0"/>
      <w:sz w:val="22"/>
      <w14:textFill>
        <w14:solidFill>
          <w14:schemeClr w14:val="accent1"/>
        </w14:solidFill>
      </w14:textFill>
    </w:rPr>
  </w:style>
  <w:style w:type="character" w:customStyle="1" w:styleId="117">
    <w:name w:val="明显引用 字符1"/>
    <w:link w:val="115"/>
    <w:qFormat/>
    <w:uiPriority w:val="30"/>
    <w:rPr>
      <w:rFonts w:ascii="Calibri" w:hAnsi="Calibri" w:eastAsia="宋体" w:cs="Times New Roman"/>
      <w:b/>
      <w:bCs/>
      <w:i/>
      <w:iCs/>
      <w:color w:val="2DA2BF"/>
      <w:kern w:val="0"/>
      <w:sz w:val="22"/>
    </w:rPr>
  </w:style>
  <w:style w:type="character" w:customStyle="1" w:styleId="118">
    <w:name w:val="Subtle Emphasis"/>
    <w:qFormat/>
    <w:uiPriority w:val="19"/>
    <w:rPr>
      <w:i/>
      <w:iCs/>
      <w:color w:val="808080"/>
    </w:rPr>
  </w:style>
  <w:style w:type="character" w:customStyle="1" w:styleId="119">
    <w:name w:val="Intense Emphasis"/>
    <w:qFormat/>
    <w:uiPriority w:val="21"/>
    <w:rPr>
      <w:b/>
      <w:bCs/>
      <w:i/>
      <w:iCs/>
      <w:color w:val="2DA2BF"/>
    </w:rPr>
  </w:style>
  <w:style w:type="character" w:customStyle="1" w:styleId="120">
    <w:name w:val="Subtle Reference"/>
    <w:qFormat/>
    <w:uiPriority w:val="31"/>
    <w:rPr>
      <w:smallCaps/>
      <w:color w:val="DA1F28"/>
      <w:u w:val="single"/>
    </w:rPr>
  </w:style>
  <w:style w:type="character" w:customStyle="1" w:styleId="121">
    <w:name w:val="Intense Reference"/>
    <w:qFormat/>
    <w:uiPriority w:val="32"/>
    <w:rPr>
      <w:b/>
      <w:bCs/>
      <w:smallCaps/>
      <w:color w:val="DA1F28"/>
      <w:spacing w:val="5"/>
      <w:u w:val="single"/>
    </w:rPr>
  </w:style>
  <w:style w:type="character" w:customStyle="1" w:styleId="122">
    <w:name w:val="Book Title"/>
    <w:qFormat/>
    <w:uiPriority w:val="33"/>
    <w:rPr>
      <w:b/>
      <w:bCs/>
      <w:smallCaps/>
      <w:spacing w:val="5"/>
    </w:rPr>
  </w:style>
  <w:style w:type="character" w:customStyle="1" w:styleId="123">
    <w:name w:val="正文缩进 字符"/>
    <w:qFormat/>
    <w:uiPriority w:val="0"/>
  </w:style>
  <w:style w:type="character" w:customStyle="1" w:styleId="124">
    <w:name w:val="尾注文本 字符"/>
    <w:link w:val="22"/>
    <w:qFormat/>
    <w:uiPriority w:val="99"/>
  </w:style>
  <w:style w:type="character" w:customStyle="1" w:styleId="125">
    <w:name w:val="尾注文本 字符1"/>
    <w:basedOn w:val="38"/>
    <w:semiHidden/>
    <w:qFormat/>
    <w:uiPriority w:val="99"/>
    <w:rPr>
      <w:rFonts w:ascii="Calibri" w:hAnsi="Calibri" w:eastAsia="宋体" w:cs="Times New Roman"/>
      <w:kern w:val="0"/>
      <w:sz w:val="22"/>
    </w:rPr>
  </w:style>
  <w:style w:type="character" w:customStyle="1" w:styleId="126">
    <w:name w:val="font01"/>
    <w:qFormat/>
    <w:uiPriority w:val="0"/>
    <w:rPr>
      <w:rFonts w:hint="eastAsia" w:ascii="宋体" w:hAnsi="宋体" w:eastAsia="宋体" w:cs="宋体"/>
      <w:color w:val="000000"/>
      <w:sz w:val="20"/>
      <w:szCs w:val="20"/>
      <w:u w:val="none"/>
    </w:rPr>
  </w:style>
  <w:style w:type="character" w:customStyle="1" w:styleId="127">
    <w:name w:val="font21"/>
    <w:qFormat/>
    <w:uiPriority w:val="0"/>
    <w:rPr>
      <w:rFonts w:hint="eastAsia" w:ascii="宋体" w:hAnsi="宋体" w:eastAsia="宋体"/>
      <w:color w:val="000000"/>
      <w:sz w:val="20"/>
      <w:szCs w:val="20"/>
      <w:u w:val="none"/>
    </w:rPr>
  </w:style>
  <w:style w:type="paragraph" w:customStyle="1" w:styleId="128">
    <w:name w:val="列出段落1"/>
    <w:basedOn w:val="1"/>
    <w:qFormat/>
    <w:uiPriority w:val="34"/>
    <w:pPr>
      <w:widowControl w:val="0"/>
      <w:spacing w:after="0" w:line="240" w:lineRule="auto"/>
      <w:ind w:firstLine="420" w:firstLineChars="200"/>
      <w:jc w:val="both"/>
    </w:pPr>
    <w:rPr>
      <w:rFonts w:ascii="Times New Roman" w:hAnsi="Times New Roman"/>
      <w:kern w:val="2"/>
      <w:sz w:val="21"/>
    </w:rPr>
  </w:style>
  <w:style w:type="paragraph" w:customStyle="1" w:styleId="129">
    <w:name w:val="TOC 标题1"/>
    <w:basedOn w:val="2"/>
    <w:next w:val="1"/>
    <w:unhideWhenUsed/>
    <w:qFormat/>
    <w:uiPriority w:val="39"/>
    <w:pPr>
      <w:outlineLvl w:val="9"/>
    </w:pPr>
    <w:rPr>
      <w:color w:val="366091"/>
    </w:rPr>
  </w:style>
  <w:style w:type="character" w:customStyle="1" w:styleId="130">
    <w:name w:val="纯文本 字符1"/>
    <w:qFormat/>
    <w:uiPriority w:val="0"/>
    <w:rPr>
      <w:rFonts w:ascii="等线" w:hAnsi="Courier New" w:cs="Courier New"/>
    </w:rPr>
  </w:style>
  <w:style w:type="character" w:customStyle="1" w:styleId="131">
    <w:name w:val="批注文字 字符1"/>
    <w:semiHidden/>
    <w:qFormat/>
    <w:uiPriority w:val="99"/>
    <w:rPr>
      <w:rFonts w:ascii="Times New Roman" w:hAnsi="Times New Roman" w:eastAsia="宋体" w:cs="Times New Roman"/>
    </w:rPr>
  </w:style>
  <w:style w:type="paragraph" w:customStyle="1" w:styleId="132">
    <w:name w:val="列出段落2"/>
    <w:basedOn w:val="1"/>
    <w:qFormat/>
    <w:uiPriority w:val="34"/>
    <w:pPr>
      <w:widowControl w:val="0"/>
      <w:spacing w:after="0" w:line="240" w:lineRule="auto"/>
      <w:ind w:firstLine="420" w:firstLineChars="200"/>
      <w:jc w:val="both"/>
    </w:pPr>
    <w:rPr>
      <w:rFonts w:ascii="Times New Roman" w:hAnsi="Times New Roman"/>
      <w:kern w:val="2"/>
      <w:sz w:val="21"/>
    </w:rPr>
  </w:style>
  <w:style w:type="paragraph" w:customStyle="1" w:styleId="133">
    <w:name w:val="引用1"/>
    <w:basedOn w:val="1"/>
    <w:next w:val="1"/>
    <w:link w:val="138"/>
    <w:qFormat/>
    <w:uiPriority w:val="29"/>
    <w:pPr>
      <w:widowControl w:val="0"/>
      <w:spacing w:after="0" w:line="240" w:lineRule="auto"/>
      <w:jc w:val="both"/>
    </w:pPr>
    <w:rPr>
      <w:rFonts w:ascii="等线" w:hAnsi="等线" w:eastAsia="等线"/>
      <w:i/>
      <w:iCs/>
      <w:color w:val="000000"/>
      <w:kern w:val="2"/>
      <w:sz w:val="21"/>
    </w:rPr>
  </w:style>
  <w:style w:type="paragraph" w:customStyle="1" w:styleId="134">
    <w:name w:val="段落"/>
    <w:basedOn w:val="1"/>
    <w:qFormat/>
    <w:uiPriority w:val="99"/>
    <w:pPr>
      <w:widowControl w:val="0"/>
      <w:spacing w:after="0" w:line="360" w:lineRule="auto"/>
      <w:ind w:firstLine="480" w:firstLineChars="200"/>
      <w:jc w:val="both"/>
    </w:pPr>
    <w:rPr>
      <w:rFonts w:cs="黑体"/>
      <w:kern w:val="2"/>
      <w:sz w:val="24"/>
      <w:shd w:val="clear" w:color="auto" w:fill="FFFFFF"/>
    </w:rPr>
  </w:style>
  <w:style w:type="paragraph" w:customStyle="1" w:styleId="135">
    <w:name w:val="正文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样式 标题 3 + (中文) 黑体 小四 非加粗 段前: 7.8 磅 段后: 0 磅 行距: 固定值 20 磅"/>
    <w:basedOn w:val="4"/>
    <w:qFormat/>
    <w:uiPriority w:val="99"/>
    <w:pPr>
      <w:widowControl w:val="0"/>
      <w:spacing w:before="0" w:line="400" w:lineRule="exact"/>
      <w:jc w:val="both"/>
    </w:pPr>
    <w:rPr>
      <w:rFonts w:ascii="Calibri" w:hAnsi="Calibri" w:eastAsia="黑体" w:cs="宋体"/>
      <w:b w:val="0"/>
      <w:color w:val="auto"/>
      <w:kern w:val="2"/>
      <w:sz w:val="24"/>
      <w:szCs w:val="20"/>
    </w:rPr>
  </w:style>
  <w:style w:type="paragraph" w:customStyle="1" w:styleId="137">
    <w:name w:val="msonormal"/>
    <w:basedOn w:val="1"/>
    <w:qFormat/>
    <w:uiPriority w:val="99"/>
    <w:pPr>
      <w:spacing w:before="100" w:beforeAutospacing="1" w:after="100" w:afterAutospacing="1" w:line="240" w:lineRule="auto"/>
    </w:pPr>
    <w:rPr>
      <w:rFonts w:ascii="Arial Unicode MS" w:hAnsi="Arial Unicode MS"/>
      <w:sz w:val="24"/>
      <w:szCs w:val="20"/>
    </w:rPr>
  </w:style>
  <w:style w:type="character" w:customStyle="1" w:styleId="138">
    <w:name w:val="引用 Char"/>
    <w:link w:val="133"/>
    <w:qFormat/>
    <w:locked/>
    <w:uiPriority w:val="29"/>
    <w:rPr>
      <w:rFonts w:ascii="等线" w:hAnsi="等线" w:eastAsia="等线" w:cs="Times New Roman"/>
      <w:i/>
      <w:iCs/>
      <w:color w:val="000000"/>
    </w:rPr>
  </w:style>
  <w:style w:type="character" w:customStyle="1" w:styleId="139">
    <w:name w:val="纯文本 Char1"/>
    <w:semiHidden/>
    <w:qFormat/>
    <w:uiPriority w:val="99"/>
    <w:rPr>
      <w:rFonts w:hint="eastAsia" w:ascii="宋体" w:hAnsi="Courier New" w:eastAsia="宋体" w:cs="Courier New"/>
      <w:szCs w:val="21"/>
    </w:rPr>
  </w:style>
  <w:style w:type="character" w:customStyle="1" w:styleId="140">
    <w:name w:val="正文文本 3 Char"/>
    <w:qFormat/>
    <w:uiPriority w:val="0"/>
    <w:rPr>
      <w:kern w:val="2"/>
      <w:sz w:val="16"/>
      <w:szCs w:val="16"/>
    </w:rPr>
  </w:style>
  <w:style w:type="character" w:customStyle="1" w:styleId="141">
    <w:name w:val="页眉 Char"/>
    <w:qFormat/>
    <w:uiPriority w:val="99"/>
    <w:rPr>
      <w:rFonts w:hint="default" w:ascii="Calibri" w:hAnsi="Calibri" w:eastAsia="宋体" w:cs="Times New Roman"/>
      <w:sz w:val="18"/>
      <w:szCs w:val="21"/>
    </w:rPr>
  </w:style>
  <w:style w:type="character" w:customStyle="1" w:styleId="142">
    <w:name w:val="标题 3 Char"/>
    <w:qFormat/>
    <w:uiPriority w:val="9"/>
    <w:rPr>
      <w:rFonts w:hint="default" w:ascii="Cambria" w:hAnsi="Cambria" w:eastAsia="宋体" w:cs="Times New Roman"/>
      <w:b/>
      <w:bCs/>
      <w:color w:val="2DA2BF"/>
    </w:rPr>
  </w:style>
  <w:style w:type="character" w:customStyle="1" w:styleId="143">
    <w:name w:val="批注框文本 Char"/>
    <w:semiHidden/>
    <w:qFormat/>
    <w:uiPriority w:val="99"/>
    <w:rPr>
      <w:rFonts w:hint="default" w:ascii="Calibri" w:hAnsi="Calibri"/>
      <w:kern w:val="2"/>
      <w:sz w:val="18"/>
      <w:szCs w:val="18"/>
    </w:rPr>
  </w:style>
  <w:style w:type="character" w:customStyle="1" w:styleId="144">
    <w:name w:val="页脚 Char"/>
    <w:qFormat/>
    <w:uiPriority w:val="99"/>
    <w:rPr>
      <w:rFonts w:hint="default" w:ascii="Times New Roman" w:hAnsi="Times New Roman" w:eastAsia="宋体" w:cs="Times New Roman"/>
      <w:sz w:val="18"/>
      <w:szCs w:val="21"/>
    </w:rPr>
  </w:style>
  <w:style w:type="character" w:customStyle="1" w:styleId="145">
    <w:name w:val="标题 2 Char"/>
    <w:qFormat/>
    <w:uiPriority w:val="9"/>
    <w:rPr>
      <w:rFonts w:hint="default" w:ascii="Cambria" w:hAnsi="Cambria" w:eastAsia="宋体" w:cs="Times New Roman"/>
      <w:b/>
      <w:bCs/>
      <w:color w:val="2DA2BF"/>
      <w:sz w:val="26"/>
      <w:szCs w:val="26"/>
    </w:rPr>
  </w:style>
  <w:style w:type="character" w:customStyle="1" w:styleId="146">
    <w:name w:val="正文文本 Char"/>
    <w:qFormat/>
    <w:uiPriority w:val="99"/>
    <w:rPr>
      <w:rFonts w:hint="default" w:ascii="Calibri" w:hAnsi="Calibri" w:eastAsia="宋体" w:cs="Times New Roman"/>
      <w:szCs w:val="21"/>
    </w:rPr>
  </w:style>
  <w:style w:type="character" w:customStyle="1" w:styleId="147">
    <w:name w:val="批注主题 Char"/>
    <w:semiHidden/>
    <w:qFormat/>
    <w:uiPriority w:val="99"/>
    <w:rPr>
      <w:rFonts w:hint="default" w:ascii="Calibri" w:hAnsi="Calibri" w:eastAsia="宋体" w:cs="Times New Roman"/>
      <w:b/>
      <w:bCs/>
      <w:kern w:val="2"/>
      <w:sz w:val="21"/>
      <w:szCs w:val="22"/>
    </w:rPr>
  </w:style>
  <w:style w:type="character" w:customStyle="1" w:styleId="148">
    <w:name w:val="标题 4 Char"/>
    <w:qFormat/>
    <w:uiPriority w:val="9"/>
    <w:rPr>
      <w:rFonts w:hint="default" w:ascii="Cambria" w:hAnsi="Cambria" w:eastAsia="宋体" w:cs="Times New Roman"/>
      <w:b/>
      <w:bCs/>
      <w:i/>
      <w:iCs/>
      <w:color w:val="2DA2BF"/>
    </w:rPr>
  </w:style>
  <w:style w:type="character" w:customStyle="1" w:styleId="149">
    <w:name w:val="纯文本 Char"/>
    <w:qFormat/>
    <w:uiPriority w:val="0"/>
    <w:rPr>
      <w:rFonts w:hint="eastAsia" w:ascii="宋体" w:hAnsi="Courier New" w:eastAsia="宋体" w:cs="Times New Roman"/>
      <w:kern w:val="0"/>
      <w:szCs w:val="20"/>
    </w:rPr>
  </w:style>
  <w:style w:type="character" w:customStyle="1" w:styleId="150">
    <w:name w:val="正文缩进 Char"/>
    <w:qFormat/>
    <w:locked/>
    <w:uiPriority w:val="0"/>
    <w:rPr>
      <w:kern w:val="2"/>
      <w:sz w:val="21"/>
    </w:rPr>
  </w:style>
  <w:style w:type="character" w:customStyle="1" w:styleId="151">
    <w:name w:val="标题 1 Char"/>
    <w:qFormat/>
    <w:uiPriority w:val="9"/>
    <w:rPr>
      <w:rFonts w:hint="default" w:ascii="Cambria" w:hAnsi="Cambria" w:eastAsia="宋体" w:cs="Times New Roman"/>
      <w:b/>
      <w:bCs/>
      <w:color w:val="21798E"/>
      <w:sz w:val="28"/>
      <w:szCs w:val="28"/>
    </w:rPr>
  </w:style>
  <w:style w:type="character" w:customStyle="1" w:styleId="152">
    <w:name w:val="日期 Char"/>
    <w:semiHidden/>
    <w:qFormat/>
    <w:uiPriority w:val="99"/>
    <w:rPr>
      <w:rFonts w:hint="default" w:ascii="Calibri" w:hAnsi="Calibri"/>
      <w:kern w:val="2"/>
      <w:sz w:val="21"/>
      <w:szCs w:val="22"/>
    </w:rPr>
  </w:style>
  <w:style w:type="character" w:customStyle="1" w:styleId="153">
    <w:name w:val="标题 5 Char"/>
    <w:semiHidden/>
    <w:qFormat/>
    <w:uiPriority w:val="9"/>
    <w:rPr>
      <w:rFonts w:hint="default" w:ascii="Cambria" w:hAnsi="Cambria" w:eastAsia="宋体" w:cs="Times New Roman"/>
      <w:color w:val="16505E"/>
    </w:rPr>
  </w:style>
  <w:style w:type="character" w:customStyle="1" w:styleId="154">
    <w:name w:val="标题 6 Char"/>
    <w:semiHidden/>
    <w:qFormat/>
    <w:uiPriority w:val="9"/>
    <w:rPr>
      <w:rFonts w:hint="default" w:ascii="Cambria" w:hAnsi="Cambria" w:eastAsia="宋体" w:cs="Times New Roman"/>
      <w:i/>
      <w:iCs/>
      <w:color w:val="16505E"/>
    </w:rPr>
  </w:style>
  <w:style w:type="character" w:customStyle="1" w:styleId="155">
    <w:name w:val="标题 7 Char"/>
    <w:semiHidden/>
    <w:qFormat/>
    <w:uiPriority w:val="9"/>
    <w:rPr>
      <w:rFonts w:hint="default" w:ascii="Cambria" w:hAnsi="Cambria" w:eastAsia="宋体" w:cs="Times New Roman"/>
      <w:i/>
      <w:iCs/>
      <w:color w:val="404040"/>
    </w:rPr>
  </w:style>
  <w:style w:type="character" w:customStyle="1" w:styleId="156">
    <w:name w:val="标题 8 Char"/>
    <w:semiHidden/>
    <w:qFormat/>
    <w:uiPriority w:val="9"/>
    <w:rPr>
      <w:rFonts w:hint="default" w:ascii="Cambria" w:hAnsi="Cambria" w:eastAsia="宋体" w:cs="Times New Roman"/>
      <w:color w:val="2DA2BF"/>
      <w:sz w:val="20"/>
      <w:szCs w:val="20"/>
    </w:rPr>
  </w:style>
  <w:style w:type="character" w:customStyle="1" w:styleId="157">
    <w:name w:val="标题 9 Char"/>
    <w:semiHidden/>
    <w:qFormat/>
    <w:uiPriority w:val="9"/>
    <w:rPr>
      <w:rFonts w:hint="default" w:ascii="Cambria" w:hAnsi="Cambria" w:eastAsia="宋体" w:cs="Times New Roman"/>
      <w:i/>
      <w:iCs/>
      <w:color w:val="404040"/>
      <w:sz w:val="20"/>
      <w:szCs w:val="20"/>
    </w:rPr>
  </w:style>
  <w:style w:type="character" w:customStyle="1" w:styleId="158">
    <w:name w:val="标题 Char"/>
    <w:qFormat/>
    <w:uiPriority w:val="10"/>
    <w:rPr>
      <w:rFonts w:hint="default" w:ascii="Cambria" w:hAnsi="Cambria" w:eastAsia="宋体" w:cs="Times New Roman"/>
      <w:color w:val="343434"/>
      <w:spacing w:val="5"/>
      <w:kern w:val="28"/>
      <w:sz w:val="52"/>
      <w:szCs w:val="52"/>
    </w:rPr>
  </w:style>
  <w:style w:type="character" w:customStyle="1" w:styleId="159">
    <w:name w:val="副标题 Char"/>
    <w:qFormat/>
    <w:uiPriority w:val="11"/>
    <w:rPr>
      <w:rFonts w:hint="default" w:ascii="Cambria" w:hAnsi="Cambria" w:eastAsia="宋体" w:cs="Times New Roman"/>
      <w:i/>
      <w:iCs/>
      <w:color w:val="2DA2BF"/>
      <w:spacing w:val="15"/>
      <w:sz w:val="24"/>
      <w:szCs w:val="24"/>
    </w:rPr>
  </w:style>
  <w:style w:type="character" w:customStyle="1" w:styleId="160">
    <w:name w:val="明显引用 Char"/>
    <w:qFormat/>
    <w:uiPriority w:val="30"/>
    <w:rPr>
      <w:b/>
      <w:bCs/>
      <w:i/>
      <w:iCs/>
      <w:color w:val="2DA2BF"/>
    </w:rPr>
  </w:style>
  <w:style w:type="character" w:customStyle="1" w:styleId="161">
    <w:name w:val="列出段落 Char"/>
    <w:qFormat/>
    <w:locked/>
    <w:uiPriority w:val="34"/>
    <w:rPr>
      <w:sz w:val="22"/>
      <w:szCs w:val="22"/>
    </w:rPr>
  </w:style>
  <w:style w:type="character" w:customStyle="1" w:styleId="162">
    <w:name w:val="页眉 字符2"/>
    <w:qFormat/>
    <w:uiPriority w:val="99"/>
    <w:rPr>
      <w:rFonts w:hint="default" w:ascii="Calibri" w:hAnsi="Calibri" w:eastAsia="宋体" w:cs="Times New Roman"/>
      <w:sz w:val="18"/>
      <w:szCs w:val="21"/>
    </w:rPr>
  </w:style>
  <w:style w:type="character" w:customStyle="1" w:styleId="163">
    <w:name w:val="批注框文本 字符2"/>
    <w:qFormat/>
    <w:uiPriority w:val="99"/>
    <w:rPr>
      <w:rFonts w:hint="default" w:ascii="Calibri" w:hAnsi="Calibri"/>
      <w:sz w:val="18"/>
      <w:szCs w:val="18"/>
    </w:rPr>
  </w:style>
  <w:style w:type="character" w:customStyle="1" w:styleId="164">
    <w:name w:val="页脚 字符2"/>
    <w:qFormat/>
    <w:uiPriority w:val="99"/>
    <w:rPr>
      <w:rFonts w:hint="default" w:ascii="Times New Roman" w:hAnsi="Times New Roman" w:eastAsia="宋体" w:cs="Times New Roman"/>
      <w:sz w:val="18"/>
      <w:szCs w:val="21"/>
    </w:rPr>
  </w:style>
  <w:style w:type="character" w:customStyle="1" w:styleId="165">
    <w:name w:val="批注主题 字符2"/>
    <w:qFormat/>
    <w:uiPriority w:val="99"/>
    <w:rPr>
      <w:rFonts w:hint="default" w:ascii="Calibri" w:hAnsi="Calibri" w:eastAsia="宋体" w:cs="Times New Roman"/>
      <w:b/>
      <w:bCs/>
    </w:rPr>
  </w:style>
  <w:style w:type="character" w:customStyle="1" w:styleId="166">
    <w:name w:val="批注文字 字符2"/>
    <w:qFormat/>
    <w:uiPriority w:val="0"/>
    <w:rPr>
      <w:rFonts w:hint="default" w:ascii="Calibri" w:hAnsi="Calibri" w:eastAsia="宋体" w:cs="Times New Roman"/>
      <w:szCs w:val="21"/>
    </w:rPr>
  </w:style>
  <w:style w:type="table" w:customStyle="1" w:styleId="167">
    <w:name w:val="网格型1"/>
    <w:basedOn w:val="36"/>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网格型2"/>
    <w:basedOn w:val="36"/>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
    <w:name w:val="网格型3"/>
    <w:basedOn w:val="36"/>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4"/>
    <w:basedOn w:val="36"/>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网格型5"/>
    <w:basedOn w:val="36"/>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
    <w:name w:val="网格型6"/>
    <w:basedOn w:val="36"/>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7"/>
    <w:basedOn w:val="36"/>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
    <w:name w:val="网格型8"/>
    <w:basedOn w:val="36"/>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
    <w:name w:val="网格型21"/>
    <w:basedOn w:val="36"/>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
    <w:name w:val="网格型9"/>
    <w:basedOn w:val="36"/>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
    <w:name w:val="网格型11"/>
    <w:basedOn w:val="36"/>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
    <w:name w:val="网格型22"/>
    <w:basedOn w:val="36"/>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9">
    <w:name w:val="页脚1"/>
    <w:basedOn w:val="1"/>
    <w:next w:val="24"/>
    <w:unhideWhenUsed/>
    <w:qFormat/>
    <w:uiPriority w:val="99"/>
    <w:pPr>
      <w:widowControl w:val="0"/>
      <w:tabs>
        <w:tab w:val="center" w:pos="4153"/>
        <w:tab w:val="right" w:pos="8306"/>
      </w:tabs>
      <w:snapToGrid w:val="0"/>
      <w:spacing w:after="0" w:line="240" w:lineRule="auto"/>
    </w:pPr>
    <w:rPr>
      <w:rFonts w:ascii="等线" w:hAnsi="等线" w:eastAsia="等线"/>
      <w:kern w:val="2"/>
      <w:sz w:val="18"/>
      <w:szCs w:val="18"/>
    </w:rPr>
  </w:style>
  <w:style w:type="table" w:customStyle="1" w:styleId="180">
    <w:name w:val="普通表格1"/>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29514E-2F2A-4D10-99C3-C4640270F291}">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72</Pages>
  <Words>9834</Words>
  <Characters>10625</Characters>
  <Lines>334</Lines>
  <Paragraphs>94</Paragraphs>
  <TotalTime>35</TotalTime>
  <ScaleCrop>false</ScaleCrop>
  <LinksUpToDate>false</LinksUpToDate>
  <CharactersWithSpaces>10726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2021-04-13T03:10:00Z</dcterms:created>
  <dc:creator>wgang</dc:creator>
  <cp:lastModifiedBy>ZB5B_BY</cp:lastModifiedBy>
  <dcterms:modified xsi:type="dcterms:W3CDTF">2025-10-31T02:17:57Z</dcterms:modified>
  <cp:revision>393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eyJoZGlkIjoiYzkyZGQ3M2IxZjg1MmY0NjQ3Y2EyOGY1NjNmMzBkY2YiLCJ1c2VySWQiOiIzMDU0OTgyNjgifQ==</vt:lpwstr>
  </property>
  <property fmtid="{D5CDD505-2E9C-101B-9397-08002B2CF9AE}" pid="3" name="KSOProductBuildVer">
    <vt:lpwstr>2052-12.1.0.23125</vt:lpwstr>
  </property>
  <property fmtid="{D5CDD505-2E9C-101B-9397-08002B2CF9AE}" pid="4" name="ICV">
    <vt:lpwstr>26959F8FC6B844B297EC6D1503F8C05D_12</vt:lpwstr>
  </property>
</Properties>
</file>